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46990</wp:posOffset>
                </wp:positionV>
                <wp:extent cx="5043805" cy="4761865"/>
                <wp:effectExtent l="5080" t="4445" r="1524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2660" y="1379220"/>
                          <a:ext cx="5043805" cy="476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聊城市工业和信息化局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聊城市发展和改革委员会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聊城市科学技术局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聊城市财政局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聊城市自然资源和规划局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聊城市生态环境局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聊城市水利局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聊城市商务局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聊城市投资促进局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聊城市市场监督管理局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聊城市地方金融监督管理局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  <w:t>聊城市城市管理局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val="en-US" w:eastAsia="zh-CN"/>
                              </w:rPr>
                              <w:t>中国人民银行聊城市分行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right="0"/>
                              <w:jc w:val="distribute"/>
                              <w:textAlignment w:val="baseline"/>
                              <w:outlineLvl w:val="0"/>
                              <w:rPr>
                                <w:color w:val="FF0000"/>
                                <w:w w:val="75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5"/>
                                <w:sz w:val="50"/>
                                <w:szCs w:val="50"/>
                                <w:lang w:val="en-US" w:eastAsia="zh-CN"/>
                              </w:rPr>
                              <w:t>聊城市信息通信发展办公室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55pt;margin-top:3.7pt;height:374.95pt;width:397.15pt;z-index:251659264;mso-width-relative:page;mso-height-relative:page;" fillcolor="#FFFFFF [3201]" filled="t" stroked="t" coordsize="21600,21600" o:gfxdata="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xp&#10;fuzXAAAACAEAAA8AAAAAAAAAAQAgAAAAIgAAAGRycy9kb3ducmV2LnhtbFBLAQIUABQAAAAIAIdO&#10;4kDIonbRXQIAAMQEAAAOAAAAAAAAAAEAIAAAACY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聊城市工业和信息化局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聊城市发展和改革委员会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聊城市科学技术局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聊城市财政局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聊城市自然资源和规划局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聊城市生态环境局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聊城市水利局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聊城市商务局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聊城市投资促进局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聊城市市场监督管理局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聊城市地方金融监督管理局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  <w:t>聊城市城市管理局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val="en-US" w:eastAsia="zh-CN"/>
                        </w:rPr>
                        <w:t>中国人民银行聊城市分行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520" w:lineRule="exact"/>
                        <w:ind w:left="0" w:right="0"/>
                        <w:jc w:val="distribute"/>
                        <w:textAlignment w:val="baseline"/>
                        <w:outlineLvl w:val="0"/>
                        <w:rPr>
                          <w:color w:val="FF0000"/>
                          <w:w w:val="75"/>
                          <w:sz w:val="50"/>
                          <w:szCs w:val="5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5"/>
                          <w:sz w:val="50"/>
                          <w:szCs w:val="50"/>
                          <w:lang w:val="en-US" w:eastAsia="zh-CN"/>
                        </w:rPr>
                        <w:t>聊城市信息通信发展办公室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64770</wp:posOffset>
                </wp:positionV>
                <wp:extent cx="864870" cy="663575"/>
                <wp:effectExtent l="4445" t="4445" r="1968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15990" y="3433445"/>
                          <a:ext cx="864870" cy="66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700" w:lineRule="exact"/>
                              <w:ind w:left="0" w:right="0"/>
                              <w:jc w:val="left"/>
                              <w:textAlignment w:val="baseline"/>
                              <w:outlineLvl w:val="0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80"/>
                                <w:sz w:val="60"/>
                                <w:szCs w:val="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80"/>
                                <w:sz w:val="60"/>
                                <w:szCs w:val="60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5pt;margin-top:5.1pt;height:52.25pt;width:68.1pt;z-index:251661312;mso-width-relative:page;mso-height-relative:page;" fillcolor="#FFFFFF [3201]" filled="t" stroked="t" coordsize="21600,21600" o:gfxdata="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wLCFdgAAAAKAQAADwAAAAAAAAABACAAAAAiAAAAZHJzL2Rvd25yZXYueG1sUEsBAhQAFAAAAAgA&#10;h07iQNLRUHBeAgAAwwQAAA4AAAAAAAAAAQAgAAAAJw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700" w:lineRule="exact"/>
                        <w:ind w:left="0" w:right="0"/>
                        <w:jc w:val="left"/>
                        <w:textAlignment w:val="baseline"/>
                        <w:outlineLvl w:val="0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80"/>
                          <w:sz w:val="60"/>
                          <w:szCs w:val="6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80"/>
                          <w:sz w:val="60"/>
                          <w:szCs w:val="60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  <w:t>聊工信发〔2023〕122号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144780</wp:posOffset>
                </wp:positionV>
                <wp:extent cx="571627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3770" y="8705850"/>
                          <a:ext cx="571627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11.4pt;height:0pt;width:450.1pt;z-index:251660288;mso-width-relative:page;mso-height-relative:page;" filled="f" stroked="t" coordsize="21600,21600" o:gfxdata="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vep81gAA&#10;AAgBAAAPAAAAAAAAAAEAIAAAACIAAABkcnMvZG93bnJldi54bWxQSwECFAAUAAAACACHTuJAeDor&#10;pOcBAACmAwAADgAAAAAAAAABACAAAAAlAQAAZHJzL2Uyb0RvYy54bWxQSwUGAAAAAAYABgBZAQAA&#10;fgUAAAAA&#10;">
                <v:fill on="f" focussize="0,0"/>
                <v:stroke weight="1.25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w w:val="95"/>
          <w:sz w:val="44"/>
          <w:szCs w:val="44"/>
          <w:lang w:eastAsia="zh-CN"/>
        </w:rPr>
        <w:t>关于印发《聊城市传统产业技改升级行动计划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w w:val="95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w w:val="95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w w:val="95"/>
          <w:sz w:val="44"/>
          <w:szCs w:val="44"/>
          <w:lang w:eastAsia="zh-CN"/>
        </w:rPr>
        <w:t>023—2025年）》的通知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各县（市、区）工业和信息化、发展改革、科学技术、财政、自然资源和规划、生态环境、水利、商务、投资促进、市场监管、金融监管、城管、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人民银行主管部门，市属开发区相关部门：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9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现将《聊城市传统产业技改升级行动计划（2023—2025年）》印发给你们，请结合实际认真组织实施。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聊城市工业和信息化局       聊城市发展和改革委员会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聊城市科学技术局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7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57"/>
          <w:sz w:val="32"/>
          <w:szCs w:val="32"/>
          <w:lang w:val="en-US" w:eastAsia="zh-CN"/>
        </w:rPr>
        <w:t>聊城市财政局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聊城市自然资源和规划局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     聊城市生态环境局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1302" w:firstLineChars="3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57"/>
          <w:sz w:val="32"/>
          <w:szCs w:val="32"/>
          <w:lang w:val="en-US" w:eastAsia="zh-CN"/>
        </w:rPr>
        <w:t>聊城市水利局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7"/>
          <w:sz w:val="32"/>
          <w:szCs w:val="32"/>
          <w:lang w:val="en-US" w:eastAsia="zh-CN"/>
        </w:rPr>
        <w:t>聊城市商务局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聊城市投资促进局       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聊城市市场监督管理局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left="0" w:righ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聊城市地方金融监督管理局    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城市管理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中国人民银行聊城市分行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 聊城市信息通信发展办公室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600" w:lineRule="exact"/>
        <w:ind w:right="0" w:firstLine="5760" w:firstLineChars="18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2023年12月15日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  <w:t xml:space="preserve">    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0" w:h="16840"/>
          <w:pgMar w:top="1871" w:right="1474" w:bottom="1757" w:left="1587" w:header="1134" w:footer="1247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  <w:t>聊城市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</w:rPr>
        <w:t>传统产业技改升级行动计划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</w:rPr>
        <w:t>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both"/>
        <w:textAlignment w:val="baseline"/>
        <w:rPr>
          <w:rFonts w:ascii="Arial"/>
          <w:b w:val="0"/>
          <w:bCs w:val="0"/>
          <w:color w:val="auto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传统产业是我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工业经济的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，是现代化产业体系的重要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支撑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推进传统产业转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型升级，是加力提速工业高质量发展的重点任务。实施高水平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技术改造，是促进传统产业转型升级的重要手段。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加快我市传统产业改造提升，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深入推进新旧动能转换、促进绿色低碳高质量发展，加快推进新型工业化，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助力制造业强市建设，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根据《山东省传统产业技改升级行动计划（2023—2025年）》，结合聊城实际，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制定本行动计划。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一、总体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2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指导思想。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全面贯彻党的二十大精神，立足新发展阶段，完整、准确、全面贯彻新发展理念，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统筹国家黄河流域生态保护和高质量发展战略，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绿色低碳高质量发展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主线，聚焦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有色金属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黑色金属、绿色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化工、轻工、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绿色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建材、纺织、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装备制造、农副产品加工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大传统优势产业，在工业领域持续推进“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项技改、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企转型”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加快推动传统产业向高端化、智能化、绿色化、集群化、服务化跃升，夯实新型工业化产业基础，为社会主义现代化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新聊城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建设提供有力支撑。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3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发展目标。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到2025年，我市八大传统产业整体素质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和综合竞争力明显提升，产值规模突破5000亿元，化工新材料产业规模以上企业营业收入占全市化工的比重提高到30%以上，高端装备产业占全市装备制造业比重达30%左右、新能源汽车产业占全市汽车产业的比重达60%左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规模以上工业企业营业收入利润率达到5%左右；技术改造投资年均增长8%左右，占工业投资比重稳定在60%以上，年均滚动实施投资500万元以上技术改造项目600个左右；新技术、新材料、新产品加快推广应用，全市规模以上企业研发投入占比达到3%以上，有研发活动的企业占比达到60%左右；持续推进传统产业数字化转型、智能化发展，两化融合发展水平显著提升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规模以上单位工业增加值能耗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下降率完成省下达的目标任务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，单位工业增加值用水量持续下降，工业固废综合利用水平进一步提高，绿色低碳高质量发展取得新成效。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3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二、实施路径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（一）有色金属产业。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坚持绿色发展，稳定冶炼规模，延伸产业链条，发展精深加工，壮大骨干企业，培育产业集群，打造世界级有色金属新材料产业基地。加快绿色化改造，落实有色金属行业碳达峰实施方案，推广绿色低碳成熟技术，提升全流程绿色发展水平，加大技术改造支持力度，引导企业开展节能降碳工艺升级改造。延伸产业链条，围绕新能源汽车、光伏等应用需求，加快开发一体化压铸成型车身、动力电池用铝制部件、铝合金轮毂、光伏支架等产品，增强高性能合金、高精铜（铝）箔、高强度导线材、高纯氧化铝等新材料及产品制造能力，优化产品结构。实施重大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技改项目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，壮大骨干企业。推进有色金属与化工、建材等行业耦合发展，打造茌平千亿级铝精深加工集群、东阿百亿级铝单板集群和阳谷铜及铜加工集群，提高产业集中度。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（二）黑色金属产业。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以结构调整为主线，加强创新驱动、重组整合、绿色改造，培植骨干企业、延伸产业链条、建设高端产业园。推动技术装备高端化升级，加快技术改造和设备更新，加快工业互联网、物联网、大数据、5G、人工智能等新一代信息技术与制造加工深度融合，提高行业装备智能化水平。积极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进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聊城市精品钢管产业园建设，构建精品钢管产业集群。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加大合金管、复合管、结构管、专用管研发制造能力，做优船舶与海洋工程用管、军用合金管、工程机械专用管等一批新特优产品，提高印花板、瓦楞板、家电板、太阳能板、氟碳板、装饰门板等高附加值产品比重。延伸产业链条，发展中厚壁管、轴承管等高附加值产品及汽车零部件等下游产品，打造全国高端专用管生产基地，拓展超薄高强板、深冲板，彩涂板高端产品，打造全国精品钢板生产基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（三）绿色化工产业。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以专用化学品和化工新材料为战略定位，做强做优3家化工园区和4个化工企业监控点，延伸产业链、培植产业集群，推进一体化、园区化、特色化、绿色化发展。扩大尼龙、聚碳酸酯等优势产业链规模和技术水平，加强现代煤化工、氟硅化工项目规划布局，开展关键材料、工艺技术装备攻关及应用推广，提升节能减排降碳水平，增强核心竞争力。加快工业低碳新技术、新工艺、新设备、新材料的应用，围绕节能减排、二氧化碳捕集、可再生能源资源制氢等领域，引进关键技术和设备，开展设备更新和改造。支持化工企业实施老旧装置综合技改、高危工艺改造和污染物不能稳定达标设施升级改造，提升装置运行效率和高端化、绿色化、安全化水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（四）绿色建材产业。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加快发展铝单板、橡塑管材、装配式建筑、保温材料等绿色建材，推动产品结构调整、装备更新，加快耦合发展。加快水泥落后产能退出，推广节能粉磨设备及其他设备节能技术改造，提升行业清洁生产水平。推动固废资源化利用，提高粉煤灰综合利用水平，探索赤泥综合利用新路径，支持脱硫石膏制备绿色建材，建设一批综合利用示范项目。支持企业加快布局建设人工晶体、矿物功能材料、石墨烯及改性材料、高性能纤维及复合材料等无机非金属新材料项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（五）纺织产业。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加强科技创新、市场创新，调整棉纺织行业，壮大针织行业，突破印染行业，提升家纺行业。发展中高支线纱、高档面料、产业用纺织品、高档家纺及精品服装等高端绿色纺织产品。加快新型纤维材料、高端纺织制造、智能绿色印染、智能纺机等关键技术攻关和产业化应用，推动纺纱、织布、印染、服装全产业链装备更新和工艺技术升级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（六）装备制造产业。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以整车整机制造企业为依托，突破关键零部件，优化产业、企业和产品结构，提升产业链整体价值。突破动力装备、氢燃料电池等核心基础零部件，加快先进铸造、锻造、焊接、热处理和切削加工等基础制造工艺和绿色低碳新技术融合发展。增强高效增材制造、复合材料构件制造、复杂铸件无模成型、轻量化制造等先进制造能力。发展高性能农业机械、工程机械、纺织机械、造纸机械、工业机器人等成套设备及零件，推动汽车及基础零部件产业向高端、智能、绿色发展；围绕航空航天、轨道交通等高附加值轴承产品，打造全国一流的高端轴承产业基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eastAsia" w:ascii="楷体_GB2312" w:hAnsi="楷体_GB2312" w:eastAsia="仿宋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（七）轻工产业。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做强做优造纸包装行业，发展壮大塑料制品行业，改造提升人造板行业。</w:t>
      </w:r>
      <w:r>
        <w:rPr>
          <w:rFonts w:hint="eastAsia" w:ascii="仿宋_GB2312" w:eastAsia="仿宋_GB2312"/>
          <w:color w:val="auto"/>
          <w:sz w:val="32"/>
          <w:szCs w:val="32"/>
        </w:rPr>
        <w:t>围绕节能环保、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清洁生产、智能制造</w:t>
      </w:r>
      <w:r>
        <w:rPr>
          <w:rFonts w:hint="eastAsia" w:ascii="仿宋_GB2312" w:eastAsia="仿宋_GB2312"/>
          <w:color w:val="auto"/>
          <w:sz w:val="32"/>
          <w:szCs w:val="32"/>
        </w:rPr>
        <w:t>等领域，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开展设备更新和技术改造。优化</w:t>
      </w:r>
      <w:r>
        <w:rPr>
          <w:rFonts w:hint="eastAsia" w:ascii="仿宋_GB2312" w:eastAsia="仿宋_GB2312"/>
          <w:color w:val="auto"/>
          <w:sz w:val="32"/>
          <w:szCs w:val="32"/>
        </w:rPr>
        <w:t>提升造纸、塑料制品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人造板等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行业产品结构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增强高档办公用纸、生活用纸、产业用纸等高附加值产品，医用、食品包装等行业包装产品，可降解</w:t>
      </w:r>
      <w:r>
        <w:rPr>
          <w:rFonts w:hint="eastAsia" w:ascii="仿宋_GB2312" w:eastAsia="仿宋_GB2312"/>
          <w:color w:val="auto"/>
          <w:sz w:val="32"/>
          <w:szCs w:val="32"/>
        </w:rPr>
        <w:t>塑料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等绿色塑料制品，铝塑、钢塑等塑料复合管材产品，绿色环保人造板产品先进制造能力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培育高唐本色纸生产及包装印刷生活用纸集群、阳谷塑料制品集群和茌平人造板集群，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提高产业集中度。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（八）农副产品加工产业。</w:t>
      </w:r>
      <w:r>
        <w:rPr>
          <w:rFonts w:hint="eastAsia" w:ascii="仿宋_GB2312" w:hAnsi="Arial" w:eastAsia="仿宋_GB2312" w:cs="Arial"/>
          <w:color w:val="auto"/>
          <w:spacing w:val="0"/>
          <w:w w:val="100"/>
          <w:position w:val="0"/>
          <w:sz w:val="32"/>
          <w:szCs w:val="32"/>
          <w:lang w:val="en-US" w:eastAsia="zh-CN"/>
        </w:rPr>
        <w:t>发挥资源优势，壮大产业规模，优化产业布局，加快升级改造，打造全国绿色优质农产品供应基地。改造提升粮食加工产业链，做强蛋白、饼干、面包等产品，推动粮食产业由“粮食加工”向“食品生产”转型；培育延伸畜禽加工产业链，做优肉制肠、预制肉食、休闲食品等综合精深加工，做强饲料及宠物食品加工，将畜禽养殖屠宰规模优势转变为肉食加工生产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、重点任务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（一）聚力创新驱动，加快高端化转型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.激发企业创新活力。加强制造业创新中心、企业技术中心、产业创新中心、“一企一技术”研发中心等平台载体培育建设，引导创新平台加大基础性、应用性、关键性科学研究和成果转化。提升聊城产研院等新型研发机构创新资源集聚能力，产出一批具有技术突破性、产业带动性的创新成果和产品，为传统产业改造升级提供强力技术支撑。到2025年，力争省级“一企一技术”研发中心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25家左右、制造业创新中心达到2家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市科技局、市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发展改革委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4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2.推进产业基础再造。聚焦产业基础薄弱环节，引导企业承担国家产业基础再造和制造业高质量发展专项。把握科技和产业发展方向，推动化工、有色、机械等行业依托产业基础和优势，加快向新能源、新材料、高端装备等领域转型。优化“揭榜挂帅”“攀登计划”等科研任务组织方式，引导企业加大技术改造投入，围绕行业“卡脖子”难题开展联合攻关，加快突破一批关键技术和零部件，开发一批标志性、带动性产品。到2025年，力争新承担国家专项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1项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市科技局）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3.攻关重大技术装备。聚焦工业母机、高端轴承、掘进设备和先进农机等重点领域，支持企业对接国内高层次院校和科研机构，承担国家和省科技重大专项和重点研发计划项目，开展产学研协同创新。用好制造业专项贷款、首台（套）保险补偿等政策，突破一批关键技术装备，提升高端装备制造能力。到2025年，力争承担省级以上重大关键技术攻关项目达到15项左右，培育首台（套）技术装备及关键核心零部件达到80项左右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科技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4.加强质量品牌建设。深入实施质量强市及品牌战略，持续开展“好品山东·品质聊城”品牌宣传活动，积极争创“山东制造·齐鲁精品”，扩大我市工业企业品牌影响力。积极培育省优质食品强县、强镇和基地，打造轻工纺织行业数字“三品”示范企业。引导优势企业建立健全质量管理、企业标准、计量测试和质量信用体系，鼓励龙头企业主导或参与各级标准制（修）订。推广首席质量官制度，增强企业质量竞争力。培育建设工业企业质量标杆，引导传统企业对标达标。到2025年，力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省级以上质量标杆达到50项左右。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</w:rPr>
        <w:t>工业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市场监管局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（二）聚力数实融合，加快智能化转型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5.加快企业数实融合。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深入实施“工赋聊城”行动，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全面推进网络、平台、应用等体系建设，加快工业互联网赋能传统产业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转型升级。开展中小企业数字化转型行动，完善聊城中小企业数字化转型公共服务平台，搭建中小企业数字化转型评测系统，组建“智改数转”服务商联盟，构建中小企业数字化转型服务生态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到2025年，力争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规模以上工业企业关键业务环节全面数字化率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70%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左右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通信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发展办）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6.强化智能制造能力。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推进制造业与互联网、大数据、人工智能深度融合，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加大智能制造标准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力度，组织开展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传统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产业智能制造能力成熟度评估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以智能制造为主攻方向，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在研发设计、经营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制造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环节开展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机械化换人、自动化减人、智能化无人技术改造，提升技术装备、生产工艺、过程控制安全防护能力，打造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数字化车间、智能化工厂，不断提高传统产业生产装备和生产过程的智能化水平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到2025年，力争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智能工厂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、数字化车间和智能制造场景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达到80个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左右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智能制造标杆企业达到10家左右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楷体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7.推进网络协同发展。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探索建设聊城市新型工业化智慧平台，鼓励国有企业、大型民营企业围绕轴承、钢板、钢管、电缆等产业打造产业大脑，培育多个网络协同应用场景，构筑“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1+N+X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”网络化生产制造和服务体系。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健全工业互联网标识解析体系，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高效运营轴承、纺织、铸造、农副食品、医药等特色行业标识解析二级节点，开发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创新应用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与服务平台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，加快形成规模化标识解析应用服务能力。深化“双千兆”协同，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建设高质量外部公共网络，提升重点区域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5G深度覆盖，争创国家级“千兆城市”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。到2025年，力争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开通5G基站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1.3万个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培育省级重点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工业互联网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个左右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通信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发展办）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/>
        <w:jc w:val="both"/>
        <w:textAlignment w:val="baseline"/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（三）聚力节约集约，加快绿色化转型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8.强化能效标杆引领。聚焦有色、黑色、化工、建材等重点行业，积极培育能效“领跑者”。加强绿色低碳工艺技术装备推广应用，支持企业实施一批节能降碳技术改造项目，多措并举提高企业能效水平。到2025年，力争重点领域工业企业达到能效标杆水平产能比例超过30%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发展改革委、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9.推动节能减排改造。以电机、锅炉、加热炉等高耗能通用设备为重点，支持企业采用先进适用的节能低碳装备，进行改造升级，实现能源高效低碳化利用。聚焦超低排放升级改造，支持企业采用先进清洁生产工艺技术和高效末端治理装备进行改造。加快清洁能源替代改造，用好碳排放权交易等绿色工具，积极稳妥推进工业领域及重点行业碳达峰任务落实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生态环境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10.加强资源综合利用。组织实施一批工业固废资源综合利用项目，推进赤泥、粉煤灰、工业副产石膏、冶炼渣等大宗工业固废高值化、规模化、集约化综合利用，持续提升工业固废综合利用水平。推动废钢铁、废旧动力电池等再生资源综合利用行业规范发展。支持企业应用节水工艺、技术和装备，实施节水技术改造，提高工业用水重复利用率。深入开展“水效”领跑者引领行动，开展节水型企业创建活动，推动企业水效对标达标。到2025年，力争全市单位工业增加值用水量比2020年下降12%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市城管局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市水利局）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11.完善绿色制造体系。强化产品全生命周期绿色管理，推行绿色设计，开发绿色产品，建设绿色工厂，发展绿色工业园区，打造绿色供应链。加快“新能源+储能”深度融合，培育风能、光伏、氢能等清洁能源产业和储能产业，推动绿色制造与绿色能源深度融合。深入推行清洁生产，系统推进重点行业企业清洁生产改造，强化清洁生产审核，开展整体清洁生产审核创新试点。到2025年，新增省级以上绿色制造示范单位20家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市发展改革委、市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生态环境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（四）聚焦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生态融通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，加快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集群化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转型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12.梯度培育优质企业。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实施“育苗扶壮”“热带雨林”培育计划，分级分类建立优质企业培育库，完善培育机制，加快构建创新型中小企业、专精特新中小企业、专精特新“小巨人”企业、制造业单项冠军企业、产业链领航企业培育体系。加快在传统产业领域打造一批技术领先、产品卓越、实力雄厚的行业龙头企业。开展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质中小企业培育专项行动，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引导大企业向中小企业共享创新要素、产能资源，形成大中小企业融通发展格局。到2025年，力争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省级创新型中小企业达到2000家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专精特新中小企业达到700家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制造业单项冠军企业达到80家，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入库科技型中小企业1200家左右，高新技术企业达到1000家。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科技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13.做强现代化产业链。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深入实施产业链链长制，加大对12条产业链系统性、前瞻性研究谋划，重点突破有色金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属、绿色化工、新能源、大健康4条标志性产业链，精准梳理产业链图谱，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“一链一策”推动产业链发展，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积极培育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产业链高质量发展促进机构。实施一批强链延链补链项目，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打造一批集成能力和带动能力强的“链主”企业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开展重点产业链融链固链行动，引导“链主”企业联动上下游开展全面化改造，打造融链固链共同体，提升产业链韧性和竞争力。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到2025年，力争培育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家左右产业生态主导型省级“链主”企业。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市链长制工作办公室）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14.壮大优势产业集群。深化新型工业化产业示范基地建设，全面落实生态环保产业高质量发展“311”工程，扎实推进先进制造业集群、中小企业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特色产业集群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、雁阵形产业集群培育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积极争创国家级集群。编制先进制造业集群培育提升方案，集中力量支持做强有色金属、农副产业加工、精品板材和钢管、高端轴承、新能源汽车、生物医药等先进制造业集群，争创省级先进制造业集群。到2025年，力争传统产业领域累计创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国家级新型工业化产业示范基地3个左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右，省级雁阵形产业集群达到10个左右、特色产业集群达到8个左右，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先进制造业集群达到2个左右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发展改革委、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生态环境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15.提升工业园区能级。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坚持错位竞争与联动发展原则，引导和鼓励企业向工业园区集聚，对扩建、迁建入园项目，参照技术改造项目优先予以支持。立足园区产业基础和重点企业，开展精准招商，推动园区主导产业集群化发展，打造一批生物医药、新材料、高端装备、新能源等特色产业园区。加快工业园区绿色化改造，推进绿色工业园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生态工业园区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积极推动茌平化工产业园、莘县化工产业园、聊城化工产业园3个化工园区扩区，推进园区整治提升和集聚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。到2025年，力争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化工企业入园率达到45%以上，化工园区产值占全行业80%左右。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市投资促进局、市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生态环境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局、市商务局）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lang w:eastAsia="zh-CN"/>
        </w:rPr>
        <w:t>（五）聚焦模式创新，加快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</w:rPr>
        <w:t>服务化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lang w:eastAsia="zh-CN"/>
        </w:rPr>
        <w:t>转型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楷体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16.推进共享平台建设。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计量、标准、认证、检测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服务机构水平，加快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质量基础设施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集约创新，打造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“一站式”协同服务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平台体系。面向印染、热处理、电镀、铸造等关键环节，布局建设一批行业共享制造平台和提供分时、计件等灵活服务的共享工厂。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市场监管局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17.强化工业设计赋能。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加快工业设计与制造业深度融合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，强化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产品创新、工艺设计、品牌建设、市场开拓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对传统产业的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驱动作用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。举办市级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工业设计大赛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开展“工业设计进百企”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活动，普及工业设计理念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，推动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创新成果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转化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，引导企业加大对工业设计的投入和应用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。完善工业设计中心梯度培育体系，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提升制造业工业设计能力，推动工业设计产业创新发展。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到2025年，力争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省级以上工业设计中心达到45家左右。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</w:rPr>
        <w:t>工业和信息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18.创新协同制造服务。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深化现代服务业与先进制造业融合发展，加快培育发展服务型制造新业态新模式，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大力培育服务型制造示范企业和平台，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传统产业向价值链中高端攀升。深化重点行业“产业大脑”应用，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创新数据驱动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共享制造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、线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上集采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供应链金融等生产经营模式，推动产业高效协同发展。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到2025年，力争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省级以上服务型制造示范企业和平台达到15家左右，省级产业大脑达到2个以上。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发展改革委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、保障措施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（一）强化督导推进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各有关部门要高度重视传统产业技改升级工作，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按照任务分工，加强沟通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协作，细化政策措施，形成工作合力，协调解决传统产业技改升级工作中系统性、普遍性的问题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，确保完成各项目标任务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各县（市、区）、市属开发区要落实主体责任，健全推进机制，强化服务意识，切实抓实抓好。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lang w:eastAsia="zh-CN"/>
        </w:rPr>
        <w:t>（牵头单位：市工业和信息化局）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强化项目支撑。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树牢“项目为王”理念，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按照“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谋划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一批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开工一批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建设一批、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投产一批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”要求，加大重点项目推进力度，精准引导项目谋划储备，靶向对接促进项目招引，积极扩大和优化传统产业有效投资。建立全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市工业项目及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技术改造项目库，统筹抓好工业项目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技术改造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项目建设，强化协调服务、要素保障，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确保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项目序时推进、如期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。聚焦传统产业改造升级重点领域，统筹用好各种招商资源，精准锚定招商目标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科学安排招商活动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着力引进更多具有产业引领性、区域带动性的项目。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（牵头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发展改革委、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市投资促进局）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（三）强化政策集成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发挥好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级工业转型发展专项资金撬动和引导作用，重点支持传统产业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技改升级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鼓励有条件的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政府加大投入力度，加大对传统产业改造升级项目的支持。全面落实进口设备免征关税等普惠政策，用足用好国家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重大技改专项、产业基础再造等各项政策，争取更多项目纳入国家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支持范围。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强化重点项目用地保障，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对列入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重点工业项目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单的，全力争取省级统筹用地指标保障，省级指标保障不足部分，由市县全额保障。完善政银企沟通合作机制，引导金融机构将优质技术改造项目作为贷款投放的重点领域，充分运用重大技术改造项目贷款贴息、人民银行碳减排政策工具、供应链金融等政策，创新信贷产品，优化融资服务，增加授信额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降低企业项目融资成本。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（牵头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财政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市自然资源和规划局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地方金融监管局、人民银行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聊城市分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（四）强化宣传引导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牢牢把握正确舆论导向，充分利用互联网、报刊、电视等媒体及时深度报道传统产业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技改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升级工作成效、经验做法和亮点特色，注重发现和总结可借鉴、可复制、可推广的典型案例，积极宣传推广好经验、好做法，扩大示范带动效应，形成支持和推动传统产业技改升级的良好氛围。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eastAsia="zh-CN"/>
        </w:rPr>
        <w:t>（牵头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</w:rPr>
        <w:t>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工业和信息化局）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both"/>
        <w:textAlignment w:val="baseline"/>
        <w:rPr>
          <w:color w:val="auto"/>
          <w:sz w:val="32"/>
          <w:szCs w:val="32"/>
        </w:rPr>
      </w:pPr>
    </w:p>
    <w:sectPr>
      <w:pgSz w:w="11900" w:h="16840"/>
      <w:pgMar w:top="2098" w:right="1474" w:bottom="1984" w:left="1587" w:header="1134" w:footer="1361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1270BF-B7D7-4FCB-8D42-47EDD6E5F8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46C44C-EBF0-4C20-8D66-5A18D4EE5C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206131A-EA42-43D8-AE6E-03436E1D7F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E00F03-D55A-4DE2-88C1-69AA67036F0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A642568-D5B4-4BBD-9694-5EF0E52BFC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WE3MTg3NWExNTUyOTI1ZGRkMjc0ZWIzZDE5MTE0ZWEifQ=="/>
  </w:docVars>
  <w:rsids>
    <w:rsidRoot w:val="00000000"/>
    <w:rsid w:val="0BC73B8E"/>
    <w:rsid w:val="278D88C4"/>
    <w:rsid w:val="2D0B05E4"/>
    <w:rsid w:val="376F8076"/>
    <w:rsid w:val="4CF2265D"/>
    <w:rsid w:val="544C7C3E"/>
    <w:rsid w:val="5BBDAA4E"/>
    <w:rsid w:val="5E8817F2"/>
    <w:rsid w:val="5FFE50D4"/>
    <w:rsid w:val="60003E02"/>
    <w:rsid w:val="64887EF2"/>
    <w:rsid w:val="66FEF89C"/>
    <w:rsid w:val="6ED75FFE"/>
    <w:rsid w:val="6EE63234"/>
    <w:rsid w:val="7C7BB835"/>
    <w:rsid w:val="7DEAE19D"/>
    <w:rsid w:val="7E2FEA2A"/>
    <w:rsid w:val="7FBDC322"/>
    <w:rsid w:val="7FFA0EEF"/>
    <w:rsid w:val="B7FA9D61"/>
    <w:rsid w:val="BF191589"/>
    <w:rsid w:val="D7B570AD"/>
    <w:rsid w:val="DEDEB7FA"/>
    <w:rsid w:val="EFB3760C"/>
    <w:rsid w:val="F9DF3020"/>
    <w:rsid w:val="FDFB7AC5"/>
    <w:rsid w:val="FFFB01F9"/>
    <w:rsid w:val="FFFFA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7974</Words>
  <Characters>8139</Characters>
  <Paragraphs>53</Paragraphs>
  <TotalTime>49</TotalTime>
  <ScaleCrop>false</ScaleCrop>
  <LinksUpToDate>false</LinksUpToDate>
  <CharactersWithSpaces>8139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2023-11-13T10:26:00Z</dcterms:created>
  <dc:creator>Kingsoft-PDF</dc:creator>
  <cp:lastModifiedBy>袁浩</cp:lastModifiedBy>
  <cp:lastPrinted>2023-12-15T09:13:45Z</cp:lastPrinted>
  <dcterms:modified xsi:type="dcterms:W3CDTF">2023-12-15T09:13:49Z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2023-10-31T10:26:47Z</vt:filetime>
  </property>
  <property fmtid="{D5CDD505-2E9C-101B-9397-08002B2CF9AE}" pid="4" name="UsrData">
    <vt:lpwstr>654065e1e0519b001ffe0a2ewl</vt:lpwstr>
  </property>
  <property fmtid="{D5CDD505-2E9C-101B-9397-08002B2CF9AE}" pid="5" name="KSOProductBuildVer">
    <vt:lpwstr>2052-12.1.0.15990</vt:lpwstr>
  </property>
  <property fmtid="{D5CDD505-2E9C-101B-9397-08002B2CF9AE}" pid="6" name="ICV">
    <vt:lpwstr>08F4A4A1C4C341A6B2548F1E3B532D39</vt:lpwstr>
  </property>
</Properties>
</file>