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黑体"/>
          <w:kern w:val="44"/>
          <w:lang w:bidi="ar"/>
        </w:rPr>
      </w:pPr>
      <w:r>
        <w:rPr>
          <w:rFonts w:hint="eastAsia" w:ascii="黑体" w:hAnsi="黑体" w:eastAsia="黑体" w:cs="黑体"/>
          <w:kern w:val="44"/>
          <w:lang w:bidi="ar"/>
        </w:rPr>
        <w:t>LCCR-2020-0050002</w:t>
      </w: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spacing w:line="600" w:lineRule="exact"/>
        <w:ind w:firstLine="640"/>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仿宋_GB2312" w:eastAsia="仿宋_GB2312"/>
          <w:spacing w:val="-6"/>
        </w:rPr>
      </w:pPr>
      <w:r>
        <w:rPr>
          <w:rFonts w:hint="eastAsia" w:ascii="仿宋_GB2312" w:hAnsi="仿宋_GB2312" w:eastAsia="仿宋_GB2312"/>
          <w:spacing w:val="-6"/>
        </w:rPr>
        <w:t>聊工信发〔2020〕</w:t>
      </w:r>
      <w:r>
        <w:rPr>
          <w:rFonts w:ascii="仿宋_GB2312" w:hAnsi="仿宋_GB2312" w:eastAsia="仿宋_GB2312"/>
          <w:spacing w:val="-6"/>
        </w:rPr>
        <w:t>65</w:t>
      </w:r>
      <w:r>
        <w:rPr>
          <w:rFonts w:hint="eastAsia" w:ascii="仿宋_GB2312" w:hAnsi="仿宋_GB2312" w:eastAsia="仿宋_GB2312"/>
          <w:spacing w:val="-6"/>
        </w:rPr>
        <w:t>号</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ascii="仿宋_GB2312" w:hAnsi="仿宋_GB2312" w:eastAsia="仿宋_GB2312"/>
          <w:spacing w:val="-6"/>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宋体" w:hAnsi="宋体" w:eastAsia="方正小标宋简体" w:cs="宋体"/>
          <w:kern w:val="44"/>
          <w:sz w:val="44"/>
          <w:szCs w:val="48"/>
          <w:lang w:bidi="ar"/>
        </w:rPr>
      </w:pPr>
      <w:r>
        <w:rPr>
          <w:rFonts w:hint="eastAsia" w:ascii="宋体" w:hAnsi="宋体" w:eastAsia="方正小标宋简体" w:cs="宋体"/>
          <w:kern w:val="44"/>
          <w:sz w:val="44"/>
          <w:szCs w:val="48"/>
          <w:lang w:bidi="ar"/>
        </w:rPr>
        <w:t>关于印发《聊城市工业企业“一企一技术”</w:t>
      </w:r>
      <w:r>
        <w:rPr>
          <w:rFonts w:hint="eastAsia" w:ascii="宋体" w:hAnsi="宋体" w:eastAsia="方正小标宋简体" w:cs="宋体"/>
          <w:kern w:val="44"/>
          <w:sz w:val="44"/>
          <w:szCs w:val="48"/>
          <w:lang w:bidi="ar"/>
        </w:rPr>
        <w:br w:type="textWrapping"/>
      </w:r>
      <w:r>
        <w:rPr>
          <w:rFonts w:hint="eastAsia" w:ascii="宋体" w:hAnsi="宋体" w:eastAsia="方正小标宋简体" w:cs="宋体"/>
          <w:kern w:val="44"/>
          <w:sz w:val="44"/>
          <w:szCs w:val="48"/>
          <w:lang w:bidi="ar"/>
        </w:rPr>
        <w:t>研发中心培育认定工作指南》的通知</w:t>
      </w:r>
    </w:p>
    <w:p>
      <w:pPr>
        <w:ind w:firstLine="0" w:firstLineChars="0"/>
        <w:rPr>
          <w:rFonts w:ascii="仿宋_GB2312" w:hAnsi="仿宋_GB2312" w:eastAsia="仿宋_GB2312"/>
        </w:rPr>
      </w:pPr>
    </w:p>
    <w:p>
      <w:pPr>
        <w:ind w:firstLine="0" w:firstLineChars="0"/>
        <w:rPr>
          <w:rFonts w:ascii="仿宋_GB2312" w:hAnsi="仿宋_GB2312" w:eastAsia="仿宋_GB2312"/>
        </w:rPr>
      </w:pPr>
      <w:r>
        <w:rPr>
          <w:rFonts w:hint="eastAsia" w:ascii="仿宋_GB2312" w:hAnsi="仿宋_GB2312" w:eastAsia="仿宋_GB2312"/>
        </w:rPr>
        <w:t>各县（市、区）工信局、市属开发区经发局，有关企业：</w:t>
      </w:r>
    </w:p>
    <w:p>
      <w:pPr>
        <w:ind w:firstLine="640"/>
        <w:rPr>
          <w:rFonts w:ascii="仿宋_GB2312" w:hAnsi="仿宋_GB2312" w:eastAsia="仿宋_GB2312"/>
        </w:rPr>
      </w:pPr>
      <w:r>
        <w:rPr>
          <w:rFonts w:hint="eastAsia" w:ascii="仿宋_GB2312" w:hAnsi="仿宋_GB2312" w:eastAsia="仿宋_GB2312"/>
        </w:rPr>
        <w:t>为进一步加强企业研发机构建设，强化企业技术创新主体地位，完善创新体系，促进我市工业高质量发展，结合机构改革职能的调整实际，制定了《聊城市工业企业“一企一技术”研发中心培育认定工作指南》。先印发给你们，请结合实际，认真贯彻落实。</w:t>
      </w:r>
    </w:p>
    <w:p>
      <w:pPr>
        <w:ind w:firstLine="4800" w:firstLineChars="1500"/>
        <w:rPr>
          <w:rFonts w:ascii="仿宋_GB2312" w:hAnsi="仿宋_GB2312" w:eastAsia="仿宋_GB2312"/>
        </w:rPr>
      </w:pPr>
    </w:p>
    <w:p>
      <w:pPr>
        <w:ind w:firstLine="4800" w:firstLineChars="1500"/>
        <w:rPr>
          <w:rFonts w:ascii="仿宋_GB2312" w:hAnsi="仿宋_GB2312" w:eastAsia="仿宋_GB2312"/>
        </w:rPr>
      </w:pPr>
    </w:p>
    <w:p>
      <w:pPr>
        <w:ind w:firstLine="4800" w:firstLineChars="1500"/>
        <w:rPr>
          <w:rFonts w:ascii="仿宋_GB2312" w:hAnsi="仿宋_GB2312" w:eastAsia="仿宋_GB2312"/>
        </w:rPr>
      </w:pPr>
      <w:r>
        <w:rPr>
          <w:rFonts w:hint="eastAsia" w:ascii="仿宋_GB2312" w:hAnsi="仿宋_GB2312" w:eastAsia="仿宋_GB2312"/>
        </w:rPr>
        <w:t>聊城市工业和信息化局</w:t>
      </w:r>
    </w:p>
    <w:p>
      <w:pPr>
        <w:ind w:firstLine="5120" w:firstLineChars="1600"/>
        <w:rPr>
          <w:rFonts w:ascii="仿宋_GB2312" w:hAnsi="仿宋_GB2312" w:eastAsia="仿宋_GB2312"/>
        </w:rPr>
      </w:pPr>
      <w:r>
        <w:rPr>
          <w:rFonts w:hint="eastAsia" w:ascii="仿宋_GB2312" w:hAnsi="仿宋_GB2312" w:eastAsia="仿宋_GB2312"/>
        </w:rPr>
        <w:t>2020年7月10日</w:t>
      </w:r>
    </w:p>
    <w:p>
      <w:pPr>
        <w:ind w:firstLine="640"/>
        <w:rPr>
          <w:rFonts w:ascii="仿宋_GB2312" w:hAnsi="仿宋_GB2312" w:eastAsia="仿宋_GB2312"/>
        </w:rPr>
      </w:pPr>
    </w:p>
    <w:p>
      <w:pPr>
        <w:ind w:firstLine="640"/>
        <w:rPr>
          <w:rFonts w:ascii="仿宋_GB2312" w:hAnsi="仿宋_GB2312" w:eastAsia="仿宋_GB2312"/>
        </w:rPr>
      </w:pPr>
      <w:r>
        <w:rPr>
          <w:rFonts w:hint="eastAsia" w:ascii="仿宋_GB2312" w:hAnsi="仿宋_GB2312" w:eastAsia="仿宋_GB2312"/>
        </w:rPr>
        <w:t>（此件公开发布）</w:t>
      </w:r>
    </w:p>
    <w:p>
      <w:pPr>
        <w:pStyle w:val="2"/>
        <w:spacing w:before="312" w:after="468"/>
        <w:rPr>
          <w:rFonts w:hint="default"/>
        </w:rPr>
      </w:pPr>
      <w:r>
        <w:t>聊城市工业企业“一企一技术”研发中心培育认定工作指南</w:t>
      </w:r>
    </w:p>
    <w:p>
      <w:pPr>
        <w:pStyle w:val="3"/>
      </w:pPr>
      <w:r>
        <w:rPr>
          <w:rFonts w:hint="eastAsia"/>
        </w:rPr>
        <w:t>第一章  总则</w:t>
      </w:r>
    </w:p>
    <w:p>
      <w:pPr>
        <w:ind w:firstLine="640"/>
      </w:pPr>
      <w:r>
        <w:rPr>
          <w:rFonts w:hint="eastAsia" w:ascii="黑体" w:hAnsi="黑体" w:eastAsia="黑体" w:cs="黑体"/>
        </w:rPr>
        <w:t>第一条</w:t>
      </w:r>
      <w:r>
        <w:rPr>
          <w:rFonts w:hint="eastAsia"/>
        </w:rPr>
        <w:t xml:space="preserve">  为进一步强化企业技术创新主体地位，引导和支持企业增强技术创新能力，健全技术创新市场导向机制，规范市级“一企一技术”研发中心管理，根据《山东省工业企业“一企一技术”研发中心培育认定工作指南》及我市实际情况，制定本《指南》。</w:t>
      </w:r>
    </w:p>
    <w:p>
      <w:pPr>
        <w:ind w:firstLine="640"/>
      </w:pPr>
      <w:r>
        <w:rPr>
          <w:rFonts w:hint="eastAsia" w:ascii="黑体" w:hAnsi="黑体" w:eastAsia="黑体" w:cs="黑体"/>
        </w:rPr>
        <w:t>第二条</w:t>
      </w:r>
      <w:r>
        <w:rPr>
          <w:rFonts w:hint="eastAsia"/>
        </w:rPr>
        <w:t xml:space="preserve">  本《指南》所称“一企一技术”研发中心,是指企业根据市场发展需要设立的技术研发与创新机构，负责制定企业技术创新规划、开展产业技术研发、创造运用知识产权、建立技术标准体系、凝聚培养创新人才、构建协同创新网络、推进技术创新全过程实施。</w:t>
      </w:r>
    </w:p>
    <w:p>
      <w:pPr>
        <w:ind w:firstLine="640"/>
      </w:pPr>
      <w:r>
        <w:rPr>
          <w:rFonts w:hint="eastAsia" w:ascii="黑体" w:hAnsi="黑体" w:eastAsia="黑体" w:cs="黑体"/>
        </w:rPr>
        <w:t>第三条</w:t>
      </w:r>
      <w:r>
        <w:rPr>
          <w:rFonts w:hint="eastAsia"/>
        </w:rPr>
        <w:t xml:space="preserve">  鼓励和支持企业建立“一企一技术”研发中心，发挥企业在技术创新中的主体作用，建立健全企业主导产业技术研发创新的体制机制。对创新能力强、创新机制好、引领示范作用大、符合条件的“一企一技术”研发中心予以认定，并给予支持，鼓励引导行业骨干企业带动产业技术进步和创新能力提高。</w:t>
      </w:r>
    </w:p>
    <w:p>
      <w:pPr>
        <w:ind w:firstLine="640"/>
      </w:pPr>
      <w:r>
        <w:rPr>
          <w:rFonts w:hint="eastAsia" w:ascii="黑体" w:hAnsi="黑体" w:eastAsia="黑体" w:cs="黑体"/>
        </w:rPr>
        <w:t>第四条</w:t>
      </w:r>
      <w:r>
        <w:rPr>
          <w:rFonts w:hint="eastAsia"/>
        </w:rPr>
        <w:t xml:space="preserve">  聊城市工业和信息化局负责聊城市工业企业“一企一技术”研发中心的培育、认定。各县（市、区）工业和信息化局、市属开发区经贸发展局（中央、省驻聊及市属企业主管部门）负责市级“一企一技术”研发中心的推荐申报事项。</w:t>
      </w:r>
    </w:p>
    <w:p>
      <w:pPr>
        <w:pStyle w:val="3"/>
      </w:pPr>
      <w:r>
        <w:rPr>
          <w:rFonts w:hint="eastAsia"/>
        </w:rPr>
        <w:t>第二章  市级“一企一技术”研发中心认定</w:t>
      </w:r>
    </w:p>
    <w:p>
      <w:pPr>
        <w:ind w:firstLine="640"/>
      </w:pPr>
      <w:r>
        <w:rPr>
          <w:rFonts w:hint="eastAsia" w:ascii="黑体" w:hAnsi="黑体" w:eastAsia="黑体" w:cs="黑体"/>
        </w:rPr>
        <w:t>第五条</w:t>
      </w:r>
      <w:r>
        <w:rPr>
          <w:rFonts w:hint="eastAsia"/>
        </w:rPr>
        <w:t xml:space="preserve">  市级“一企一技术”研发中心的认定，原则上每年进行一次。各县（市、区）工业和信息化局、市属开发区经贸发展局按照市工业和信息化局通知要求报送申请材料。</w:t>
      </w:r>
    </w:p>
    <w:p>
      <w:pPr>
        <w:ind w:firstLine="640"/>
      </w:pPr>
      <w:r>
        <w:rPr>
          <w:rFonts w:hint="eastAsia" w:ascii="黑体" w:hAnsi="黑体" w:eastAsia="黑体" w:cs="黑体"/>
        </w:rPr>
        <w:t>第六条</w:t>
      </w:r>
      <w:r>
        <w:rPr>
          <w:rFonts w:hint="eastAsia"/>
        </w:rPr>
        <w:t xml:space="preserve">  市级“一企一技术”研发中心应当具备以下基本条件：</w:t>
      </w:r>
    </w:p>
    <w:p>
      <w:pPr>
        <w:ind w:firstLine="640"/>
      </w:pPr>
      <w:r>
        <w:rPr>
          <w:rFonts w:hint="eastAsia"/>
        </w:rPr>
        <w:t>（一）企业在聊城市相关行业中具有显著的发展优势和竞争优势，具有较强创新能力和较高创新水平；</w:t>
      </w:r>
    </w:p>
    <w:p>
      <w:pPr>
        <w:ind w:firstLine="640"/>
      </w:pPr>
      <w:r>
        <w:rPr>
          <w:rFonts w:hint="eastAsia"/>
        </w:rPr>
        <w:t>（二）在所处行业技术领域里，拥有自主知识产权的核心关键技术或软件著作权，近两年取得授权专利8项以上，其中发明专利2项以上；软件和信息技术服务企业近两年取得软件著作权8项以上；</w:t>
      </w:r>
    </w:p>
    <w:p>
      <w:pPr>
        <w:ind w:firstLine="640"/>
      </w:pPr>
      <w:r>
        <w:rPr>
          <w:rFonts w:hint="eastAsia"/>
        </w:rPr>
        <w:t>（三）企业具有较好的技术创新机制，组织体系健全，创新效率和效益较好；</w:t>
      </w:r>
    </w:p>
    <w:p>
      <w:pPr>
        <w:ind w:firstLine="640"/>
      </w:pPr>
      <w:r>
        <w:rPr>
          <w:rFonts w:hint="eastAsia"/>
        </w:rPr>
        <w:t>（四）机构专职研发人员不少于8人，拥有技术水平高、实践经验丰富的技术带头人；</w:t>
      </w:r>
    </w:p>
    <w:p>
      <w:pPr>
        <w:ind w:firstLine="640"/>
      </w:pPr>
      <w:r>
        <w:rPr>
          <w:rFonts w:hint="eastAsia"/>
        </w:rPr>
        <w:t>（五）具有比较完善的研究、开发、试验条件，有固定的研发场所，科研仪器设备软件原值不低于100万元；有较好的技术积累，重视关键核心技术开发，具有开展高水平技术创新活动的能力；</w:t>
      </w:r>
    </w:p>
    <w:p>
      <w:pPr>
        <w:ind w:firstLine="640"/>
      </w:pPr>
      <w:r>
        <w:rPr>
          <w:rFonts w:hint="eastAsia"/>
        </w:rPr>
        <w:t>（六）申报企业是按国家划型标准界定为中小型的工业企业。</w:t>
      </w:r>
    </w:p>
    <w:p>
      <w:pPr>
        <w:ind w:firstLine="640"/>
      </w:pPr>
      <w:r>
        <w:rPr>
          <w:rFonts w:hint="eastAsia"/>
        </w:rPr>
        <w:t>企业在申请受理截止日期前三年内，不得存在下列情况：</w:t>
      </w:r>
    </w:p>
    <w:p>
      <w:pPr>
        <w:ind w:firstLine="640"/>
      </w:pPr>
      <w:r>
        <w:rPr>
          <w:rFonts w:hint="eastAsia"/>
        </w:rPr>
        <w:t>（一）因违反海关法及有关法律、行政法规，构成走私行为，受到刑事、行政处罚，或因严重违反海关监管规定受到行政处罚；</w:t>
      </w:r>
    </w:p>
    <w:p>
      <w:pPr>
        <w:ind w:firstLine="640"/>
      </w:pPr>
      <w:r>
        <w:rPr>
          <w:rFonts w:hint="eastAsia"/>
        </w:rPr>
        <w:t>（二）因违反税收征管法及有关法律、行政法规，构成偷税、骗取出口退税等严重税收违法行为；</w:t>
      </w:r>
    </w:p>
    <w:p>
      <w:pPr>
        <w:ind w:firstLine="640"/>
      </w:pPr>
      <w:r>
        <w:rPr>
          <w:rFonts w:hint="eastAsia"/>
        </w:rPr>
        <w:t>（三）司法、行政机关认定的其他严重违法失信行为。</w:t>
      </w:r>
    </w:p>
    <w:p>
      <w:pPr>
        <w:ind w:firstLine="640"/>
      </w:pPr>
      <w:r>
        <w:rPr>
          <w:rFonts w:hint="eastAsia" w:ascii="黑体" w:hAnsi="黑体" w:eastAsia="黑体" w:cs="黑体"/>
        </w:rPr>
        <w:t>第七条</w:t>
      </w:r>
      <w:r>
        <w:rPr>
          <w:rFonts w:hint="eastAsia"/>
        </w:rPr>
        <w:t xml:space="preserve">  为进一步简化申报流程，已取得省级及以上重点实验室、企业技术中心、工程（技术）研究中心、工业设计中心等创新平台资质，运行正常并符合第六条第（二）项条件的企业，经申请可直接认定为市级“一企一技术”研发中心。</w:t>
      </w:r>
    </w:p>
    <w:p>
      <w:pPr>
        <w:ind w:firstLine="640"/>
      </w:pPr>
      <w:r>
        <w:rPr>
          <w:rFonts w:hint="eastAsia" w:ascii="黑体" w:hAnsi="黑体" w:eastAsia="黑体" w:cs="黑体"/>
        </w:rPr>
        <w:t xml:space="preserve">第八条  </w:t>
      </w:r>
      <w:r>
        <w:rPr>
          <w:rFonts w:hint="eastAsia"/>
        </w:rPr>
        <w:t>各县（市、区）工业和信息化局、市属开发区经贸发展局根据本《指南》及当年通知推荐符合条件的“一企一技术”研发中心，并将推荐名单及其申请材料报送市工业和信息化局。申请材料主要包括“一企一技术”研发中心申请报告、评价表及必要的证明材料。</w:t>
      </w:r>
    </w:p>
    <w:p>
      <w:pPr>
        <w:ind w:firstLine="640"/>
      </w:pPr>
      <w:r>
        <w:rPr>
          <w:rFonts w:hint="eastAsia" w:ascii="黑体" w:hAnsi="黑体" w:eastAsia="黑体" w:cs="黑体"/>
        </w:rPr>
        <w:t xml:space="preserve">第九条  </w:t>
      </w:r>
      <w:r>
        <w:rPr>
          <w:rFonts w:hint="eastAsia"/>
        </w:rPr>
        <w:t>市工业和信息化局委托专家依据评价指标体系进行审核，并将审核结果向社会公示。</w:t>
      </w:r>
    </w:p>
    <w:p>
      <w:pPr>
        <w:ind w:firstLine="640"/>
      </w:pPr>
      <w:r>
        <w:rPr>
          <w:rFonts w:hint="eastAsia" w:ascii="黑体" w:hAnsi="黑体" w:eastAsia="黑体" w:cs="黑体"/>
        </w:rPr>
        <w:t xml:space="preserve">第十条  </w:t>
      </w:r>
      <w:r>
        <w:rPr>
          <w:rFonts w:hint="eastAsia"/>
        </w:rPr>
        <w:t>市工业和信息化局在接收申报材料之日起60个工作日之内发文，向各县（市、区）工业和信息化局、市属开发区经贸发展局及有关单位通报认定结果。</w:t>
      </w:r>
    </w:p>
    <w:p>
      <w:pPr>
        <w:pStyle w:val="3"/>
      </w:pPr>
      <w:r>
        <w:rPr>
          <w:rFonts w:hint="eastAsia"/>
        </w:rPr>
        <w:t>第三章  运行评价</w:t>
      </w:r>
    </w:p>
    <w:p>
      <w:pPr>
        <w:ind w:firstLine="640"/>
      </w:pPr>
      <w:r>
        <w:rPr>
          <w:rFonts w:hint="eastAsia" w:ascii="黑体" w:hAnsi="黑体" w:eastAsia="黑体" w:cs="黑体"/>
        </w:rPr>
        <w:t xml:space="preserve">第十一条  </w:t>
      </w:r>
      <w:r>
        <w:rPr>
          <w:rFonts w:hint="eastAsia"/>
        </w:rPr>
        <w:t>原则上每三年组织一次市级“一企一技术”研发中心运行评价，并于评价年度下发评价通知。</w:t>
      </w:r>
    </w:p>
    <w:p>
      <w:pPr>
        <w:ind w:firstLine="640"/>
      </w:pPr>
      <w:r>
        <w:rPr>
          <w:rFonts w:hint="eastAsia"/>
        </w:rPr>
        <w:t>各有关企业按照通知要求，编写自评材料，主要包括市级“一企一技术”研发中心工作总结报告、评价表及必要的证明材料。</w:t>
      </w:r>
    </w:p>
    <w:p>
      <w:pPr>
        <w:ind w:firstLine="640"/>
      </w:pPr>
      <w:r>
        <w:rPr>
          <w:rFonts w:hint="eastAsia"/>
        </w:rPr>
        <w:t>企业对自评材料真实性负责，并签订真实性承诺书。各县（市、区）工业和信息化局、市属开发区经贸发展局按通知要求组织企业开展自评工作，并将自评材料报送市工业和信息化局。</w:t>
      </w:r>
    </w:p>
    <w:p>
      <w:pPr>
        <w:ind w:firstLine="640"/>
      </w:pPr>
      <w:r>
        <w:rPr>
          <w:rFonts w:hint="eastAsia" w:ascii="黑体" w:hAnsi="黑体" w:eastAsia="黑体" w:cs="黑体"/>
        </w:rPr>
        <w:t xml:space="preserve">第十二条  </w:t>
      </w:r>
      <w:r>
        <w:rPr>
          <w:rFonts w:hint="eastAsia"/>
        </w:rPr>
        <w:t>市工业和信息化局组织专家，依据评价指标体系，对自评材料进行评价。</w:t>
      </w:r>
    </w:p>
    <w:p>
      <w:pPr>
        <w:ind w:firstLine="640"/>
      </w:pPr>
      <w:r>
        <w:rPr>
          <w:rFonts w:hint="eastAsia" w:ascii="黑体" w:hAnsi="黑体" w:eastAsia="黑体" w:cs="黑体"/>
        </w:rPr>
        <w:t xml:space="preserve">第十三条  </w:t>
      </w:r>
      <w:r>
        <w:rPr>
          <w:rFonts w:hint="eastAsia"/>
        </w:rPr>
        <w:t>评价结果分为合格和不合格。</w:t>
      </w:r>
    </w:p>
    <w:p>
      <w:pPr>
        <w:ind w:firstLine="640"/>
      </w:pPr>
      <w:r>
        <w:rPr>
          <w:rFonts w:hint="eastAsia" w:ascii="黑体" w:hAnsi="黑体" w:eastAsia="黑体" w:cs="黑体"/>
        </w:rPr>
        <w:t xml:space="preserve">第十四条  </w:t>
      </w:r>
      <w:r>
        <w:rPr>
          <w:rFonts w:hint="eastAsia"/>
        </w:rPr>
        <w:t>市工业和信息化局在受理自评材料之日起60个工作日内，向各县（市、区）工业和信息化局、市属开发区经贸发展局及有关单位通报评价结果。</w:t>
      </w:r>
    </w:p>
    <w:p>
      <w:pPr>
        <w:pStyle w:val="3"/>
      </w:pPr>
      <w:r>
        <w:rPr>
          <w:rFonts w:hint="eastAsia"/>
        </w:rPr>
        <w:t>第四章  鼓励政策</w:t>
      </w:r>
    </w:p>
    <w:p>
      <w:pPr>
        <w:ind w:firstLine="640"/>
      </w:pPr>
      <w:r>
        <w:rPr>
          <w:rFonts w:hint="eastAsia" w:ascii="黑体" w:hAnsi="黑体" w:eastAsia="黑体" w:cs="黑体"/>
        </w:rPr>
        <w:t xml:space="preserve">第十五条  </w:t>
      </w:r>
      <w:r>
        <w:rPr>
          <w:rFonts w:hint="eastAsia"/>
        </w:rPr>
        <w:t>支持“一企一技术”研发中心承担国家、省和市级相关研发任务，享受国家、省和市扶持政策。</w:t>
      </w:r>
    </w:p>
    <w:p>
      <w:pPr>
        <w:ind w:firstLine="640"/>
      </w:pPr>
      <w:r>
        <w:rPr>
          <w:rFonts w:hint="eastAsia" w:ascii="黑体" w:hAnsi="黑体" w:eastAsia="黑体" w:cs="黑体"/>
        </w:rPr>
        <w:t xml:space="preserve">第十六条  </w:t>
      </w:r>
      <w:r>
        <w:rPr>
          <w:rFonts w:hint="eastAsia"/>
        </w:rPr>
        <w:t>各县（市、区）工业和信息化局、市属开发区经贸发展局按照职能，对市级“一企一技术”研发中心予以支持。</w:t>
      </w:r>
    </w:p>
    <w:p>
      <w:pPr>
        <w:pStyle w:val="3"/>
      </w:pPr>
      <w:r>
        <w:rPr>
          <w:rFonts w:hint="eastAsia"/>
        </w:rPr>
        <w:t>第五章  监督管理</w:t>
      </w:r>
    </w:p>
    <w:p>
      <w:pPr>
        <w:ind w:firstLine="640"/>
      </w:pPr>
      <w:r>
        <w:rPr>
          <w:rFonts w:hint="eastAsia" w:ascii="黑体" w:hAnsi="黑体" w:eastAsia="黑体" w:cs="黑体"/>
        </w:rPr>
        <w:t xml:space="preserve">第十七条  </w:t>
      </w:r>
      <w:r>
        <w:rPr>
          <w:rFonts w:hint="eastAsia"/>
        </w:rPr>
        <w:t>各县（市、区）工业和信息化局、市属开发区经贸发展局应及时将市级“一企一技术”研发中心所在企业发生更名、重组等变更情况及相关证明材料报送市工业和信息化局，市工业和信息化局对相关情况进行确认并定期发文公布。</w:t>
      </w:r>
    </w:p>
    <w:p>
      <w:pPr>
        <w:ind w:firstLine="640"/>
      </w:pPr>
      <w:r>
        <w:rPr>
          <w:rFonts w:hint="eastAsia" w:ascii="黑体" w:hAnsi="黑体" w:eastAsia="黑体" w:cs="黑体"/>
        </w:rPr>
        <w:t xml:space="preserve">第十八条  </w:t>
      </w:r>
      <w:r>
        <w:rPr>
          <w:rFonts w:hint="eastAsia"/>
        </w:rPr>
        <w:t>企业对其报送材料和数据真实性负责，各县（市、区）工业和信息化局、市属开发区经贸发展局按照标准条件对企业申报材料进行符合性审查。</w:t>
      </w:r>
    </w:p>
    <w:p>
      <w:pPr>
        <w:ind w:firstLine="640"/>
      </w:pPr>
      <w:r>
        <w:rPr>
          <w:rFonts w:hint="eastAsia" w:ascii="黑体" w:hAnsi="黑体" w:eastAsia="黑体" w:cs="黑体"/>
        </w:rPr>
        <w:t xml:space="preserve">第十九条  </w:t>
      </w:r>
      <w:r>
        <w:rPr>
          <w:rFonts w:hint="eastAsia"/>
        </w:rPr>
        <w:t>有下列情况之一的，撤销市级“一企一技术”研发中心资格：</w:t>
      </w:r>
    </w:p>
    <w:p>
      <w:pPr>
        <w:ind w:firstLine="640"/>
      </w:pPr>
      <w:r>
        <w:rPr>
          <w:rFonts w:hint="eastAsia"/>
        </w:rPr>
        <w:t>（一）运行评价不合格；</w:t>
      </w:r>
    </w:p>
    <w:p>
      <w:pPr>
        <w:ind w:firstLine="640"/>
      </w:pPr>
      <w:r>
        <w:rPr>
          <w:rFonts w:hint="eastAsia"/>
        </w:rPr>
        <w:t>（二）逾期未报送评价材料；</w:t>
      </w:r>
    </w:p>
    <w:p>
      <w:pPr>
        <w:ind w:firstLine="640"/>
      </w:pPr>
      <w:r>
        <w:rPr>
          <w:rFonts w:hint="eastAsia"/>
        </w:rPr>
        <w:t>（三）提供虚假材料和数据；</w:t>
      </w:r>
    </w:p>
    <w:p>
      <w:pPr>
        <w:ind w:firstLine="640"/>
      </w:pPr>
      <w:r>
        <w:rPr>
          <w:rFonts w:hint="eastAsia"/>
        </w:rPr>
        <w:t>（四）主要由于技术原因发生重大质量、安全事故；</w:t>
      </w:r>
    </w:p>
    <w:p>
      <w:pPr>
        <w:ind w:firstLine="640"/>
      </w:pPr>
      <w:r>
        <w:rPr>
          <w:rFonts w:hint="eastAsia"/>
        </w:rPr>
        <w:t>（五）因违反国家有关法律法规受到刑事或行政处罚；</w:t>
      </w:r>
    </w:p>
    <w:p>
      <w:pPr>
        <w:ind w:firstLine="640"/>
      </w:pPr>
      <w:r>
        <w:rPr>
          <w:rFonts w:hint="eastAsia"/>
        </w:rPr>
        <w:t>（六）司法、行政机关认定的其他严重违法失信行为；</w:t>
      </w:r>
    </w:p>
    <w:p>
      <w:pPr>
        <w:ind w:firstLine="640"/>
      </w:pPr>
      <w:r>
        <w:rPr>
          <w:rFonts w:hint="eastAsia"/>
        </w:rPr>
        <w:t>（七）企业被依法终止。</w:t>
      </w:r>
    </w:p>
    <w:p>
      <w:pPr>
        <w:ind w:firstLine="640"/>
      </w:pPr>
      <w:r>
        <w:rPr>
          <w:rFonts w:hint="eastAsia" w:ascii="黑体" w:hAnsi="黑体" w:eastAsia="黑体" w:cs="黑体"/>
        </w:rPr>
        <w:t xml:space="preserve">第二十条  </w:t>
      </w:r>
      <w:r>
        <w:rPr>
          <w:rFonts w:hint="eastAsia"/>
        </w:rPr>
        <w:t>各类因本《指南》第十九条第（一）～（七）项所列原因被撤销市级“一企一技术”研发中心资格的，自撤销之日起，三年内不得再次申报。</w:t>
      </w:r>
    </w:p>
    <w:p>
      <w:pPr>
        <w:pStyle w:val="3"/>
      </w:pPr>
      <w:r>
        <w:rPr>
          <w:rFonts w:hint="eastAsia"/>
        </w:rPr>
        <w:t>第六章  附则</w:t>
      </w:r>
    </w:p>
    <w:p>
      <w:pPr>
        <w:ind w:firstLine="640"/>
      </w:pPr>
      <w:r>
        <w:rPr>
          <w:rFonts w:hint="eastAsia" w:ascii="黑体" w:hAnsi="黑体" w:eastAsia="黑体" w:cs="黑体"/>
        </w:rPr>
        <w:t xml:space="preserve">第二十一条  </w:t>
      </w:r>
      <w:r>
        <w:rPr>
          <w:rFonts w:hint="eastAsia"/>
        </w:rPr>
        <w:t>各县（市、区）工业和信息化局、市属开发区经贸发展局可参考本《指南》，结合本地实际，在职责范围内依法制定相应政策，支持企业“一企一技术”研发中心建设。</w:t>
      </w:r>
    </w:p>
    <w:p>
      <w:pPr>
        <w:ind w:firstLine="640"/>
      </w:pPr>
      <w:r>
        <w:rPr>
          <w:rFonts w:hint="eastAsia" w:ascii="黑体" w:hAnsi="黑体" w:eastAsia="黑体" w:cs="黑体"/>
        </w:rPr>
        <w:t xml:space="preserve">第二十二条  </w:t>
      </w:r>
      <w:r>
        <w:rPr>
          <w:rFonts w:hint="eastAsia"/>
        </w:rPr>
        <w:t>本《指南》涉及的申请材料、评价材料和评价指标体系的内容和要求，由市工业和信息化局发布并适时调整。</w:t>
      </w:r>
    </w:p>
    <w:p>
      <w:pPr>
        <w:ind w:firstLine="640"/>
      </w:pPr>
      <w:r>
        <w:rPr>
          <w:rFonts w:hint="eastAsia" w:ascii="黑体" w:hAnsi="黑体" w:eastAsia="黑体" w:cs="黑体"/>
        </w:rPr>
        <w:t xml:space="preserve">第二十三条  </w:t>
      </w:r>
      <w:r>
        <w:rPr>
          <w:rFonts w:hint="eastAsia"/>
        </w:rPr>
        <w:t>依据《中华人民共和国政府信息公开条例》，市级“一企一技术”研发中心认定的相关信息向社会公开。</w:t>
      </w:r>
    </w:p>
    <w:p>
      <w:pPr>
        <w:ind w:firstLine="640"/>
      </w:pPr>
      <w:r>
        <w:rPr>
          <w:rFonts w:hint="eastAsia" w:ascii="黑体" w:hAnsi="黑体" w:eastAsia="黑体" w:cs="黑体"/>
        </w:rPr>
        <w:t>第二十二条</w:t>
      </w:r>
      <w:r>
        <w:rPr>
          <w:rFonts w:hint="eastAsia"/>
        </w:rPr>
        <w:t xml:space="preserve">  本《指南》有效期自2020年7月30日起，至2025年7月29日止。</w:t>
      </w:r>
    </w:p>
    <w:p>
      <w:pPr>
        <w:ind w:firstLine="640"/>
      </w:pPr>
    </w:p>
    <w:p>
      <w:pPr>
        <w:ind w:left="1280" w:hanging="1280" w:hangingChars="400"/>
      </w:pPr>
      <w:r>
        <w:rPr>
          <w:rFonts w:hint="eastAsia"/>
        </w:rPr>
        <w:t>附件：1.聊城市工业企业“一企一技术”研发中心申请报告编写提纲</w:t>
      </w:r>
    </w:p>
    <w:p>
      <w:pPr>
        <w:ind w:firstLine="960" w:firstLineChars="300"/>
      </w:pPr>
      <w:r>
        <w:rPr>
          <w:rFonts w:hint="eastAsia"/>
        </w:rPr>
        <w:t>2.聊城市工业企业“一企一技术”研发中心评价表</w:t>
      </w:r>
    </w:p>
    <w:p>
      <w:pPr>
        <w:ind w:left="1280" w:leftChars="300" w:hanging="320" w:hangingChars="100"/>
      </w:pPr>
      <w:r>
        <w:rPr>
          <w:rFonts w:hint="eastAsia"/>
        </w:rPr>
        <w:t>3.聊城市工业企业“一企一技术”研发中心工作总结报告编写提纲</w:t>
      </w:r>
    </w:p>
    <w:p>
      <w:pPr>
        <w:ind w:firstLine="960" w:firstLineChars="300"/>
      </w:pPr>
      <w:r>
        <w:rPr>
          <w:rFonts w:hint="eastAsia"/>
        </w:rPr>
        <w:t>4.聊城市工业企业“一企一技术”研发中心评价指标体系</w:t>
      </w: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0" w:firstLineChars="0"/>
        <w:rPr>
          <w:rFonts w:ascii="黑体" w:hAnsi="黑体" w:eastAsia="黑体" w:cs="黑体"/>
        </w:rPr>
      </w:pPr>
      <w:r>
        <w:rPr>
          <w:rFonts w:hint="eastAsia" w:ascii="黑体" w:hAnsi="黑体" w:eastAsia="黑体" w:cs="黑体"/>
        </w:rPr>
        <w:t>附件1</w:t>
      </w:r>
    </w:p>
    <w:p>
      <w:pPr>
        <w:spacing w:before="312" w:beforeLines="100"/>
        <w:ind w:firstLine="883"/>
        <w:jc w:val="center"/>
        <w:rPr>
          <w:rFonts w:ascii="宋体" w:hAnsi="宋体" w:eastAsia="宋体" w:cs="宋体"/>
          <w:b/>
          <w:bCs/>
          <w:sz w:val="44"/>
          <w:szCs w:val="44"/>
        </w:rPr>
      </w:pPr>
      <w:r>
        <w:rPr>
          <w:rFonts w:hint="eastAsia" w:ascii="宋体" w:hAnsi="宋体" w:cs="宋体"/>
          <w:b/>
          <w:bCs/>
          <w:sz w:val="44"/>
          <w:szCs w:val="44"/>
        </w:rPr>
        <w:t>聊城市</w:t>
      </w:r>
      <w:r>
        <w:rPr>
          <w:rFonts w:hint="eastAsia" w:ascii="宋体" w:hAnsi="宋体" w:eastAsia="宋体" w:cs="宋体"/>
          <w:b/>
          <w:bCs/>
          <w:sz w:val="44"/>
          <w:szCs w:val="44"/>
        </w:rPr>
        <w:t>工业企业“一企一技术”</w:t>
      </w:r>
    </w:p>
    <w:p>
      <w:pPr>
        <w:spacing w:after="312" w:afterLines="100"/>
        <w:ind w:firstLine="883"/>
        <w:jc w:val="center"/>
        <w:rPr>
          <w:rFonts w:ascii="宋体" w:hAnsi="宋体" w:eastAsia="宋体" w:cs="宋体"/>
          <w:b/>
          <w:bCs/>
          <w:kern w:val="0"/>
          <w:sz w:val="44"/>
          <w:szCs w:val="44"/>
        </w:rPr>
      </w:pPr>
      <w:r>
        <w:rPr>
          <w:rFonts w:hint="eastAsia" w:ascii="宋体" w:hAnsi="宋体" w:eastAsia="宋体" w:cs="宋体"/>
          <w:b/>
          <w:bCs/>
          <w:sz w:val="44"/>
          <w:szCs w:val="44"/>
        </w:rPr>
        <w:t>研发中心</w:t>
      </w:r>
      <w:r>
        <w:rPr>
          <w:rFonts w:hint="eastAsia" w:ascii="宋体" w:hAnsi="宋体" w:eastAsia="宋体" w:cs="宋体"/>
          <w:b/>
          <w:bCs/>
          <w:kern w:val="0"/>
          <w:sz w:val="44"/>
          <w:szCs w:val="44"/>
        </w:rPr>
        <w:t>申请报告编写提纲</w:t>
      </w:r>
    </w:p>
    <w:p>
      <w:pPr>
        <w:ind w:firstLine="640"/>
        <w:rPr>
          <w:rFonts w:ascii="黑体" w:hAnsi="黑体" w:eastAsia="黑体" w:cs="黑体"/>
        </w:rPr>
      </w:pPr>
      <w:r>
        <w:rPr>
          <w:rFonts w:hint="eastAsia" w:ascii="黑体" w:hAnsi="黑体" w:eastAsia="黑体" w:cs="黑体"/>
        </w:rPr>
        <w:t>一、企业在行业中的地位和作用</w:t>
      </w:r>
    </w:p>
    <w:p>
      <w:pPr>
        <w:ind w:firstLine="640"/>
        <w:rPr>
          <w:rFonts w:ascii="仿宋_GB2312" w:hAnsi="仿宋_GB2312" w:eastAsia="仿宋_GB2312"/>
        </w:rPr>
      </w:pPr>
      <w:r>
        <w:rPr>
          <w:rFonts w:hint="eastAsia" w:ascii="仿宋_GB2312" w:hAnsi="仿宋_GB2312" w:eastAsia="仿宋_GB2312"/>
        </w:rPr>
        <w:t>（一）企业基本情况。包括所有制性质、主要下属企业，职工人数、企业总资产、资产负债率、银行信用等级、销售收入、利润、主导产品及市场占有率等。</w:t>
      </w:r>
    </w:p>
    <w:p>
      <w:pPr>
        <w:ind w:firstLine="640"/>
        <w:rPr>
          <w:rFonts w:ascii="仿宋_GB2312" w:hAnsi="仿宋_GB2312" w:eastAsia="仿宋_GB2312"/>
        </w:rPr>
      </w:pPr>
      <w:r>
        <w:rPr>
          <w:rFonts w:hint="eastAsia" w:ascii="仿宋_GB2312" w:hAnsi="仿宋_GB2312" w:eastAsia="仿宋_GB2312"/>
        </w:rPr>
        <w:t>（二）企业的行业地位和竞争力。结合行业集中度和企业在行业中的综合排序，分析企业在本行业的领先地位和竞争优势，与同行业企业相比所具有的规模和技术优势。</w:t>
      </w:r>
    </w:p>
    <w:p>
      <w:pPr>
        <w:ind w:firstLine="640"/>
        <w:rPr>
          <w:rFonts w:ascii="仿宋_GB2312" w:hAnsi="仿宋_GB2312" w:eastAsia="仿宋_GB2312"/>
        </w:rPr>
      </w:pPr>
      <w:r>
        <w:rPr>
          <w:rFonts w:hint="eastAsia" w:ascii="仿宋_GB2312" w:hAnsi="仿宋_GB2312" w:eastAsia="仿宋_GB2312"/>
        </w:rPr>
        <w:t>（三）企业对本行业技术创新的引领作用。包括企业对行业技术进步、结构调整、绿色发展、质量提升等方面的示范和带动作用。</w:t>
      </w:r>
    </w:p>
    <w:p>
      <w:pPr>
        <w:ind w:firstLine="640"/>
        <w:rPr>
          <w:rFonts w:ascii="黑体" w:hAnsi="黑体" w:eastAsia="黑体" w:cs="黑体"/>
        </w:rPr>
      </w:pPr>
      <w:r>
        <w:rPr>
          <w:rFonts w:hint="eastAsia" w:ascii="黑体" w:hAnsi="黑体" w:eastAsia="黑体" w:cs="黑体"/>
        </w:rPr>
        <w:t>二、企业研发机构的现状和成绩</w:t>
      </w:r>
    </w:p>
    <w:p>
      <w:pPr>
        <w:ind w:firstLine="640"/>
        <w:rPr>
          <w:rFonts w:ascii="仿宋_GB2312" w:hAnsi="仿宋_GB2312" w:eastAsia="仿宋_GB2312"/>
        </w:rPr>
      </w:pPr>
      <w:r>
        <w:rPr>
          <w:rFonts w:hint="eastAsia" w:ascii="仿宋_GB2312" w:hAnsi="仿宋_GB2312" w:eastAsia="仿宋_GB2312"/>
        </w:rPr>
        <w:t>（一）企业研发机构基本情况。包括企业研发机构的建设与发展历程、组织架构；创新体系建设和运行机制，包括组织管理体系建设、规章制度建立、研发项目组织管理机制、研发经费管理机制、人才激励机制、内外部合作机制等。</w:t>
      </w:r>
    </w:p>
    <w:p>
      <w:pPr>
        <w:ind w:firstLine="640"/>
        <w:rPr>
          <w:rFonts w:ascii="仿宋_GB2312" w:hAnsi="仿宋_GB2312" w:eastAsia="仿宋_GB2312"/>
        </w:rPr>
      </w:pPr>
      <w:r>
        <w:rPr>
          <w:rFonts w:hint="eastAsia" w:ascii="仿宋_GB2312" w:hAnsi="仿宋_GB2312" w:eastAsia="仿宋_GB2312"/>
        </w:rPr>
        <w:t>（二）企业研发机构创新资源整合情况。包括企业技术带头人及创新团队建设情况、研发经费投入情况、研究开发和试验基础条件建设情况、信息化建设情况等。</w:t>
      </w:r>
    </w:p>
    <w:p>
      <w:pPr>
        <w:ind w:firstLine="640"/>
        <w:rPr>
          <w:rFonts w:ascii="仿宋_GB2312" w:hAnsi="仿宋_GB2312" w:eastAsia="仿宋_GB2312"/>
        </w:rPr>
      </w:pPr>
      <w:r>
        <w:rPr>
          <w:rFonts w:hint="eastAsia" w:ascii="仿宋_GB2312" w:hAnsi="仿宋_GB2312" w:eastAsia="仿宋_GB2312"/>
        </w:rPr>
        <w:t>（三）企业研发机构研究开发工作开展情况。包括重大产品创新、工艺创新、产学研合作、国际化研发活动等。</w:t>
      </w:r>
    </w:p>
    <w:p>
      <w:pPr>
        <w:ind w:firstLine="640"/>
        <w:rPr>
          <w:rFonts w:ascii="仿宋_GB2312" w:hAnsi="仿宋_GB2312" w:eastAsia="仿宋_GB2312"/>
        </w:rPr>
      </w:pPr>
      <w:r>
        <w:rPr>
          <w:rFonts w:hint="eastAsia" w:ascii="仿宋_GB2312" w:hAnsi="仿宋_GB2312" w:eastAsia="仿宋_GB2312"/>
        </w:rPr>
        <w:t>（四）取得的主要创新成果。形成的核心技术及自主知识产权情况，重点介绍相关技术成果对企业核心产品研发、核心竞争力提升的支撑作用，以及取得的经济社会效益。</w:t>
      </w:r>
    </w:p>
    <w:p>
      <w:pPr>
        <w:ind w:firstLine="640"/>
        <w:rPr>
          <w:rFonts w:ascii="黑体" w:hAnsi="黑体" w:eastAsia="黑体" w:cs="黑体"/>
        </w:rPr>
      </w:pPr>
      <w:r>
        <w:rPr>
          <w:rFonts w:hint="eastAsia" w:ascii="黑体" w:hAnsi="黑体" w:eastAsia="黑体" w:cs="黑体"/>
        </w:rPr>
        <w:t>三、“一企一技术”研发中心的发展目标</w:t>
      </w:r>
    </w:p>
    <w:p>
      <w:pPr>
        <w:ind w:firstLine="640"/>
        <w:rPr>
          <w:rFonts w:ascii="仿宋_GB2312" w:hAnsi="仿宋_GB2312" w:eastAsia="仿宋_GB2312"/>
        </w:rPr>
      </w:pPr>
      <w:r>
        <w:rPr>
          <w:rFonts w:hint="eastAsia" w:ascii="仿宋_GB2312" w:hAnsi="仿宋_GB2312" w:eastAsia="仿宋_GB2312"/>
        </w:rPr>
        <w:t>（一）“一企一技术”研发中心未来3年的建设目标。</w:t>
      </w:r>
    </w:p>
    <w:p>
      <w:pPr>
        <w:ind w:firstLine="640"/>
        <w:rPr>
          <w:rFonts w:ascii="仿宋_GB2312" w:hAnsi="仿宋_GB2312" w:eastAsia="仿宋_GB2312"/>
        </w:rPr>
      </w:pPr>
      <w:r>
        <w:rPr>
          <w:rFonts w:hint="eastAsia" w:ascii="仿宋_GB2312" w:hAnsi="仿宋_GB2312" w:eastAsia="仿宋_GB2312"/>
        </w:rPr>
        <w:t>（二）在技术创新方面拟实施的重点措施，包括创新条件建设、创新人才集聚、重点研发项目部署等。</w:t>
      </w:r>
    </w:p>
    <w:p>
      <w:pPr>
        <w:ind w:firstLine="640"/>
        <w:rPr>
          <w:rFonts w:ascii="仿宋_GB2312" w:hAnsi="仿宋_GB2312" w:eastAsia="仿宋_GB2312"/>
        </w:rPr>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960" w:firstLineChars="300"/>
      </w:pPr>
    </w:p>
    <w:p>
      <w:pPr>
        <w:ind w:firstLine="0" w:firstLineChars="0"/>
        <w:rPr>
          <w:rFonts w:ascii="黑体" w:hAnsi="黑体" w:eastAsia="黑体" w:cs="黑体"/>
        </w:rPr>
      </w:pPr>
      <w:r>
        <w:rPr>
          <w:rFonts w:hint="eastAsia" w:ascii="黑体" w:hAnsi="黑体" w:eastAsia="黑体" w:cs="黑体"/>
        </w:rPr>
        <w:t>附件2</w:t>
      </w:r>
    </w:p>
    <w:p>
      <w:pPr>
        <w:spacing w:before="156" w:beforeLines="50"/>
        <w:ind w:firstLine="883"/>
        <w:jc w:val="center"/>
        <w:rPr>
          <w:rFonts w:ascii="宋体" w:hAnsi="宋体" w:eastAsia="宋体" w:cs="宋体"/>
          <w:b/>
          <w:bCs/>
          <w:sz w:val="44"/>
          <w:szCs w:val="44"/>
        </w:rPr>
      </w:pPr>
      <w:r>
        <w:rPr>
          <w:rFonts w:hint="eastAsia" w:ascii="宋体" w:hAnsi="宋体" w:cs="宋体"/>
          <w:b/>
          <w:bCs/>
          <w:sz w:val="44"/>
          <w:szCs w:val="44"/>
        </w:rPr>
        <w:t>聊城市</w:t>
      </w:r>
      <w:r>
        <w:rPr>
          <w:rFonts w:hint="eastAsia" w:ascii="宋体" w:hAnsi="宋体" w:eastAsia="宋体" w:cs="宋体"/>
          <w:b/>
          <w:bCs/>
          <w:sz w:val="44"/>
          <w:szCs w:val="44"/>
        </w:rPr>
        <w:t>工业企业“一企一技术”</w:t>
      </w:r>
    </w:p>
    <w:p>
      <w:pPr>
        <w:spacing w:after="156" w:afterLines="50"/>
        <w:ind w:firstLine="883"/>
        <w:jc w:val="center"/>
        <w:rPr>
          <w:rFonts w:ascii="宋体" w:hAnsi="宋体" w:eastAsia="宋体" w:cs="宋体"/>
          <w:b/>
          <w:bCs/>
          <w:sz w:val="44"/>
          <w:szCs w:val="44"/>
        </w:rPr>
      </w:pPr>
      <w:r>
        <w:rPr>
          <w:rFonts w:hint="eastAsia" w:ascii="宋体" w:hAnsi="宋体" w:eastAsia="宋体" w:cs="宋体"/>
          <w:b/>
          <w:bCs/>
          <w:sz w:val="44"/>
          <w:szCs w:val="44"/>
        </w:rPr>
        <w:t>研发中心评价表</w:t>
      </w:r>
    </w:p>
    <w:tbl>
      <w:tblPr>
        <w:tblStyle w:val="8"/>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88"/>
        <w:gridCol w:w="3787"/>
        <w:gridCol w:w="907"/>
        <w:gridCol w:w="78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企业名称</w:t>
            </w:r>
          </w:p>
        </w:tc>
        <w:tc>
          <w:tcPr>
            <w:tcW w:w="7018" w:type="dxa"/>
            <w:gridSpan w:val="4"/>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主营业务</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统计行业代码</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专有技术名称</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下属企业数量</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中心负责人</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联系电话</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联系人</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联系电话</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电子邮件</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联系传真</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通讯地址</w:t>
            </w:r>
          </w:p>
        </w:tc>
        <w:tc>
          <w:tcPr>
            <w:tcW w:w="3787" w:type="dxa"/>
          </w:tcPr>
          <w:p>
            <w:pPr>
              <w:ind w:firstLine="0" w:firstLineChars="0"/>
              <w:rPr>
                <w:rFonts w:ascii="仿宋_GB2312" w:hAnsi="仿宋_GB2312" w:eastAsia="仿宋_GB2312"/>
                <w:sz w:val="24"/>
                <w:szCs w:val="24"/>
              </w:rPr>
            </w:pPr>
          </w:p>
        </w:tc>
        <w:tc>
          <w:tcPr>
            <w:tcW w:w="1687" w:type="dxa"/>
            <w:gridSpan w:val="2"/>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报告年度</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序号</w:t>
            </w:r>
          </w:p>
        </w:tc>
        <w:tc>
          <w:tcPr>
            <w:tcW w:w="5682" w:type="dxa"/>
            <w:gridSpan w:val="3"/>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指标名称</w:t>
            </w:r>
          </w:p>
        </w:tc>
        <w:tc>
          <w:tcPr>
            <w:tcW w:w="780"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单位</w:t>
            </w: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主营业务收入</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2</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利润总额</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3</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机构研发经费支出</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4</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上年度机构研发经费支出</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5</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机构职工总数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人</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6</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其中：研究与试验发展人员数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人</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7</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其中：中高级职称人数（含硕士及以上学历）</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人</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8</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技术开发仪器设备和软件原值</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9</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全部研发项目数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10</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其中：承担的市级以上项目数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7"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11</w:t>
            </w:r>
          </w:p>
        </w:tc>
        <w:tc>
          <w:tcPr>
            <w:tcW w:w="5682" w:type="dxa"/>
            <w:gridSpan w:val="3"/>
            <w:vMerge w:val="restart"/>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通过国家（国际组织）、省认证（认定）的实验室数</w:t>
            </w:r>
          </w:p>
        </w:tc>
        <w:tc>
          <w:tcPr>
            <w:tcW w:w="780" w:type="dxa"/>
            <w:vMerge w:val="restart"/>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个</w:t>
            </w: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7" w:type="dxa"/>
            <w:vMerge w:val="continue"/>
            <w:vAlign w:val="center"/>
          </w:tcPr>
          <w:p>
            <w:pPr>
              <w:ind w:firstLine="0" w:firstLineChars="0"/>
              <w:jc w:val="center"/>
              <w:rPr>
                <w:rFonts w:ascii="仿宋_GB2312" w:hAnsi="仿宋_GB2312" w:eastAsia="仿宋_GB2312"/>
                <w:sz w:val="24"/>
                <w:szCs w:val="24"/>
              </w:rPr>
            </w:pPr>
          </w:p>
        </w:tc>
        <w:tc>
          <w:tcPr>
            <w:tcW w:w="5682" w:type="dxa"/>
            <w:gridSpan w:val="3"/>
            <w:vMerge w:val="continue"/>
            <w:vAlign w:val="center"/>
          </w:tcPr>
          <w:p>
            <w:pPr>
              <w:ind w:firstLine="0" w:firstLineChars="0"/>
              <w:rPr>
                <w:rFonts w:ascii="仿宋_GB2312" w:hAnsi="仿宋_GB2312" w:eastAsia="仿宋_GB2312"/>
                <w:sz w:val="24"/>
                <w:szCs w:val="24"/>
              </w:rPr>
            </w:pPr>
          </w:p>
        </w:tc>
        <w:tc>
          <w:tcPr>
            <w:tcW w:w="780" w:type="dxa"/>
            <w:vMerge w:val="continue"/>
            <w:vAlign w:val="center"/>
          </w:tcPr>
          <w:p>
            <w:pPr>
              <w:ind w:firstLine="0" w:firstLineChars="0"/>
              <w:rPr>
                <w:rFonts w:ascii="仿宋_GB2312" w:hAnsi="仿宋_GB2312" w:eastAsia="仿宋_GB2312"/>
                <w:sz w:val="24"/>
                <w:szCs w:val="24"/>
              </w:rPr>
            </w:pP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12</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拥有的全部有效专利数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13</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其中：有效发明专利数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14</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当年被受理的专利申请数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15</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其中：当年被受理的发明</w:t>
            </w:r>
          </w:p>
          <w:p>
            <w:pPr>
              <w:ind w:firstLine="0" w:firstLineChars="0"/>
              <w:rPr>
                <w:rFonts w:ascii="仿宋_GB2312" w:hAnsi="仿宋_GB2312" w:eastAsia="仿宋_GB2312"/>
                <w:sz w:val="24"/>
                <w:szCs w:val="24"/>
              </w:rPr>
            </w:pPr>
            <w:r>
              <w:rPr>
                <w:rFonts w:hint="eastAsia" w:ascii="仿宋_GB2312" w:hAnsi="仿宋_GB2312" w:eastAsia="仿宋_GB2312"/>
                <w:sz w:val="24"/>
                <w:szCs w:val="24"/>
              </w:rPr>
              <w:t>专利申请数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16</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获得的软件著作权数量</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个</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7"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17</w:t>
            </w:r>
          </w:p>
        </w:tc>
        <w:tc>
          <w:tcPr>
            <w:tcW w:w="5682" w:type="dxa"/>
            <w:gridSpan w:val="3"/>
            <w:vMerge w:val="restart"/>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近三年主持和参加制定的国际、国家和行业、团体、企业标准数</w:t>
            </w:r>
          </w:p>
        </w:tc>
        <w:tc>
          <w:tcPr>
            <w:tcW w:w="780" w:type="dxa"/>
            <w:vMerge w:val="restart"/>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7" w:type="dxa"/>
            <w:vMerge w:val="continue"/>
            <w:vAlign w:val="center"/>
          </w:tcPr>
          <w:p>
            <w:pPr>
              <w:ind w:firstLine="0" w:firstLineChars="0"/>
              <w:jc w:val="center"/>
              <w:rPr>
                <w:rFonts w:ascii="仿宋_GB2312" w:hAnsi="仿宋_GB2312" w:eastAsia="仿宋_GB2312"/>
                <w:sz w:val="24"/>
                <w:szCs w:val="24"/>
              </w:rPr>
            </w:pPr>
          </w:p>
        </w:tc>
        <w:tc>
          <w:tcPr>
            <w:tcW w:w="5682" w:type="dxa"/>
            <w:gridSpan w:val="3"/>
            <w:vMerge w:val="continue"/>
            <w:vAlign w:val="center"/>
          </w:tcPr>
          <w:p>
            <w:pPr>
              <w:ind w:firstLine="0" w:firstLineChars="0"/>
              <w:rPr>
                <w:rFonts w:ascii="仿宋_GB2312" w:hAnsi="仿宋_GB2312" w:eastAsia="仿宋_GB2312"/>
                <w:sz w:val="24"/>
                <w:szCs w:val="24"/>
              </w:rPr>
            </w:pPr>
          </w:p>
        </w:tc>
        <w:tc>
          <w:tcPr>
            <w:tcW w:w="780" w:type="dxa"/>
            <w:vMerge w:val="continue"/>
            <w:vAlign w:val="center"/>
          </w:tcPr>
          <w:p>
            <w:pPr>
              <w:ind w:firstLine="0" w:firstLineChars="0"/>
              <w:rPr>
                <w:rFonts w:ascii="仿宋_GB2312" w:hAnsi="仿宋_GB2312" w:eastAsia="仿宋_GB2312"/>
                <w:sz w:val="24"/>
                <w:szCs w:val="24"/>
              </w:rPr>
            </w:pP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国家、行业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7" w:type="dxa"/>
            <w:vMerge w:val="continue"/>
            <w:vAlign w:val="center"/>
          </w:tcPr>
          <w:p>
            <w:pPr>
              <w:ind w:firstLine="0" w:firstLineChars="0"/>
              <w:jc w:val="center"/>
              <w:rPr>
                <w:rFonts w:ascii="仿宋_GB2312" w:hAnsi="仿宋_GB2312" w:eastAsia="仿宋_GB2312"/>
                <w:sz w:val="24"/>
                <w:szCs w:val="24"/>
              </w:rPr>
            </w:pPr>
          </w:p>
        </w:tc>
        <w:tc>
          <w:tcPr>
            <w:tcW w:w="5682" w:type="dxa"/>
            <w:gridSpan w:val="3"/>
            <w:vMerge w:val="continue"/>
            <w:vAlign w:val="center"/>
          </w:tcPr>
          <w:p>
            <w:pPr>
              <w:ind w:firstLine="0" w:firstLineChars="0"/>
              <w:rPr>
                <w:rFonts w:ascii="仿宋_GB2312" w:hAnsi="仿宋_GB2312" w:eastAsia="仿宋_GB2312"/>
                <w:sz w:val="24"/>
                <w:szCs w:val="24"/>
              </w:rPr>
            </w:pPr>
          </w:p>
        </w:tc>
        <w:tc>
          <w:tcPr>
            <w:tcW w:w="780" w:type="dxa"/>
            <w:vMerge w:val="continue"/>
            <w:vAlign w:val="center"/>
          </w:tcPr>
          <w:p>
            <w:pPr>
              <w:ind w:firstLine="0" w:firstLineChars="0"/>
              <w:rPr>
                <w:rFonts w:ascii="仿宋_GB2312" w:hAnsi="仿宋_GB2312" w:eastAsia="仿宋_GB2312"/>
                <w:sz w:val="24"/>
                <w:szCs w:val="24"/>
              </w:rPr>
            </w:pP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7" w:type="dxa"/>
            <w:vMerge w:val="continue"/>
            <w:vAlign w:val="center"/>
          </w:tcPr>
          <w:p>
            <w:pPr>
              <w:ind w:firstLine="0" w:firstLineChars="0"/>
              <w:jc w:val="center"/>
              <w:rPr>
                <w:rFonts w:ascii="仿宋_GB2312" w:hAnsi="仿宋_GB2312" w:eastAsia="仿宋_GB2312"/>
                <w:sz w:val="24"/>
                <w:szCs w:val="24"/>
              </w:rPr>
            </w:pPr>
          </w:p>
        </w:tc>
        <w:tc>
          <w:tcPr>
            <w:tcW w:w="5682" w:type="dxa"/>
            <w:gridSpan w:val="3"/>
            <w:vMerge w:val="continue"/>
            <w:vAlign w:val="center"/>
          </w:tcPr>
          <w:p>
            <w:pPr>
              <w:ind w:firstLine="0" w:firstLineChars="0"/>
              <w:rPr>
                <w:rFonts w:ascii="仿宋_GB2312" w:hAnsi="仿宋_GB2312" w:eastAsia="仿宋_GB2312"/>
                <w:sz w:val="24"/>
                <w:szCs w:val="24"/>
              </w:rPr>
            </w:pPr>
          </w:p>
        </w:tc>
        <w:tc>
          <w:tcPr>
            <w:tcW w:w="780" w:type="dxa"/>
            <w:vMerge w:val="continue"/>
            <w:vAlign w:val="center"/>
          </w:tcPr>
          <w:p>
            <w:pPr>
              <w:ind w:firstLine="0" w:firstLineChars="0"/>
              <w:rPr>
                <w:rFonts w:ascii="仿宋_GB2312" w:hAnsi="仿宋_GB2312" w:eastAsia="仿宋_GB2312"/>
                <w:sz w:val="24"/>
                <w:szCs w:val="24"/>
              </w:rPr>
            </w:pPr>
          </w:p>
        </w:tc>
        <w:tc>
          <w:tcPr>
            <w:tcW w:w="1544" w:type="dxa"/>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18</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获得的市级以上科技奖励项目数</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个</w:t>
            </w:r>
          </w:p>
        </w:tc>
        <w:tc>
          <w:tcPr>
            <w:tcW w:w="1544" w:type="dxa"/>
          </w:tcPr>
          <w:p>
            <w:pPr>
              <w:ind w:firstLine="0" w:firstLineChars="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19</w:t>
            </w:r>
          </w:p>
        </w:tc>
        <w:tc>
          <w:tcPr>
            <w:tcW w:w="5682" w:type="dxa"/>
            <w:gridSpan w:val="3"/>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专有技术产品的国内市场占有率</w:t>
            </w:r>
          </w:p>
        </w:tc>
        <w:tc>
          <w:tcPr>
            <w:tcW w:w="780"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w:t>
            </w:r>
          </w:p>
        </w:tc>
        <w:tc>
          <w:tcPr>
            <w:tcW w:w="1544" w:type="dxa"/>
          </w:tcPr>
          <w:p>
            <w:pPr>
              <w:ind w:firstLine="0" w:firstLineChars="0"/>
              <w:rPr>
                <w:rFonts w:ascii="仿宋_GB2312" w:hAnsi="仿宋_GB2312" w:eastAsia="仿宋_GB2312"/>
                <w:sz w:val="24"/>
                <w:szCs w:val="24"/>
              </w:rPr>
            </w:pPr>
          </w:p>
        </w:tc>
      </w:tr>
    </w:tbl>
    <w:p>
      <w:pPr>
        <w:ind w:firstLine="640"/>
        <w:rPr>
          <w:rFonts w:hint="eastAsia" w:ascii="黑体" w:hAnsi="黑体" w:eastAsia="黑体" w:cs="黑体"/>
        </w:rPr>
      </w:pPr>
    </w:p>
    <w:p>
      <w:pPr>
        <w:ind w:firstLine="640"/>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一、填写说明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1.企业名称：申报企业需在此表上加盖公章，填写企业名称需与企业公章一致。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2.统计行业代码：对照《国民经济行业分类与代码（GB/T4754-2018）》，填写企业主营业务对应的统计“大类”（二位码）编号，如主营业务为“农副食品加工业”的企业，填写“13农副食品加工业”。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3.报告年度：表中指标统计年度，时间范围从填写评价表的上一年1月1日至12月31日；所有指标的填报时间范围，如无特殊说明，均为报告年度。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二、需提供的附件及证明材料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1．企业对报送资料的真实性、完整性承诺。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2．相关财务报表主要包括：经审计的企业资产负债表、损益表。大型企业集团应将与企业主营业务相关下属企业（包括分公司、子公司和控股公司）的资产负债表、损益表等进行合并填报。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rPr>
      </w:pPr>
      <w:r>
        <w:rPr>
          <w:rFonts w:hint="eastAsia" w:ascii="仿宋_GB2312" w:hAnsi="仿宋_GB2312" w:eastAsia="仿宋_GB2312"/>
        </w:rPr>
        <w:t>3．评价指标的必要证明材料。主要包括：机构人员、高级职称人员、高级专家、硕士博士和外部专家、专利、软件著作权、标准、实验室、科技奖励、承担的项目、专有技术产品收入、国内市场占有率、机构固定资产等方面的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rPr>
      </w:pPr>
      <w:r>
        <w:rPr>
          <w:rFonts w:hint="eastAsia" w:ascii="仿宋_GB2312" w:hAnsi="仿宋_GB2312" w:eastAsia="仿宋_GB2312"/>
        </w:rPr>
        <w:t>4.已取得省级及以上重点实验室、企业技术中心、工程（技术）研究中心、工业设计中心等创新平台资质的企业只需提交简单申请书，附省级创新平台的认定文件、最近一次通过年度评价（考核）的证明材料、近两年的专利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rPr>
      </w:pPr>
    </w:p>
    <w:p>
      <w:pPr>
        <w:ind w:firstLine="0" w:firstLineChars="0"/>
        <w:rPr>
          <w:rFonts w:ascii="黑体" w:hAnsi="黑体" w:eastAsia="黑体" w:cs="黑体"/>
        </w:rPr>
      </w:pPr>
      <w:r>
        <w:rPr>
          <w:rFonts w:hint="eastAsia" w:ascii="黑体" w:hAnsi="黑体" w:eastAsia="黑体" w:cs="黑体"/>
        </w:rPr>
        <w:t>附件3</w:t>
      </w:r>
    </w:p>
    <w:p>
      <w:pPr>
        <w:spacing w:before="312" w:beforeLines="100"/>
        <w:ind w:firstLine="883"/>
        <w:jc w:val="center"/>
        <w:rPr>
          <w:rFonts w:ascii="宋体" w:hAnsi="宋体" w:eastAsia="宋体" w:cs="宋体"/>
          <w:b/>
          <w:bCs/>
          <w:sz w:val="44"/>
          <w:szCs w:val="44"/>
        </w:rPr>
      </w:pPr>
      <w:r>
        <w:rPr>
          <w:rFonts w:hint="eastAsia" w:ascii="宋体" w:hAnsi="宋体" w:cs="宋体"/>
          <w:b/>
          <w:bCs/>
          <w:sz w:val="44"/>
          <w:szCs w:val="44"/>
        </w:rPr>
        <w:t>聊城市</w:t>
      </w:r>
      <w:r>
        <w:rPr>
          <w:rFonts w:hint="eastAsia" w:ascii="宋体" w:hAnsi="宋体" w:eastAsia="宋体" w:cs="宋体"/>
          <w:b/>
          <w:bCs/>
          <w:sz w:val="44"/>
          <w:szCs w:val="44"/>
        </w:rPr>
        <w:t>工业企业“一企一技术”</w:t>
      </w:r>
    </w:p>
    <w:p>
      <w:pPr>
        <w:spacing w:after="312" w:afterLines="100"/>
        <w:ind w:firstLine="883"/>
        <w:jc w:val="center"/>
        <w:rPr>
          <w:rFonts w:ascii="宋体" w:hAnsi="宋体" w:eastAsia="宋体" w:cs="宋体"/>
          <w:b/>
          <w:bCs/>
          <w:sz w:val="44"/>
          <w:szCs w:val="44"/>
        </w:rPr>
      </w:pPr>
      <w:r>
        <w:rPr>
          <w:rFonts w:hint="eastAsia" w:ascii="宋体" w:hAnsi="宋体" w:eastAsia="宋体" w:cs="宋体"/>
          <w:b/>
          <w:bCs/>
          <w:sz w:val="44"/>
          <w:szCs w:val="44"/>
        </w:rPr>
        <w:t>研发中心工作总结报告编写提纲</w:t>
      </w:r>
    </w:p>
    <w:p>
      <w:pPr>
        <w:ind w:firstLine="640"/>
        <w:rPr>
          <w:rFonts w:ascii="仿宋_GB2312" w:hAnsi="仿宋_GB2312" w:eastAsia="仿宋_GB2312"/>
        </w:rPr>
      </w:pPr>
      <w:r>
        <w:rPr>
          <w:rFonts w:hint="eastAsia" w:ascii="仿宋_GB2312" w:hAnsi="仿宋_GB2312" w:eastAsia="仿宋_GB2312"/>
        </w:rPr>
        <w:t>已认定的聊城市“一企一技术”研发中心需在评价年度提交工作总结，以全面总结近3年企业技术创新与“一企一技术”研发中心工作情况。主要包括如下内容：</w:t>
      </w:r>
    </w:p>
    <w:p>
      <w:pPr>
        <w:ind w:firstLine="640"/>
        <w:rPr>
          <w:rFonts w:ascii="仿宋_GB2312" w:hAnsi="仿宋_GB2312" w:eastAsia="仿宋_GB2312"/>
        </w:rPr>
      </w:pPr>
      <w:r>
        <w:rPr>
          <w:rFonts w:hint="eastAsia" w:ascii="仿宋_GB2312" w:hAnsi="仿宋_GB2312" w:eastAsia="仿宋_GB2312"/>
        </w:rPr>
        <w:t>1．简要分析企业</w:t>
      </w:r>
      <w:bookmarkStart w:id="0" w:name="_GoBack"/>
      <w:bookmarkEnd w:id="0"/>
      <w:r>
        <w:rPr>
          <w:rFonts w:hint="eastAsia" w:ascii="仿宋_GB2312" w:hAnsi="仿宋_GB2312" w:eastAsia="仿宋_GB2312"/>
        </w:rPr>
        <w:t>所在行业创新趋势和特点，以及企业在该行业中的地位和竞争优势。</w:t>
      </w:r>
    </w:p>
    <w:p>
      <w:pPr>
        <w:ind w:firstLine="640"/>
        <w:rPr>
          <w:rFonts w:ascii="仿宋_GB2312" w:hAnsi="仿宋_GB2312" w:eastAsia="仿宋_GB2312"/>
        </w:rPr>
      </w:pPr>
      <w:r>
        <w:rPr>
          <w:rFonts w:hint="eastAsia" w:ascii="仿宋_GB2312" w:hAnsi="仿宋_GB2312" w:eastAsia="仿宋_GB2312"/>
        </w:rPr>
        <w:t>2．中心运行情况，包括技术创新体系建设、制度建设、创新机制建设、产学研合作创新机制建设、国际化创新合作建设、企业技术创新基础设施建设等。</w:t>
      </w:r>
    </w:p>
    <w:p>
      <w:pPr>
        <w:ind w:firstLine="640"/>
        <w:rPr>
          <w:rFonts w:ascii="仿宋_GB2312" w:hAnsi="仿宋_GB2312" w:eastAsia="仿宋_GB2312"/>
        </w:rPr>
      </w:pPr>
      <w:r>
        <w:rPr>
          <w:rFonts w:hint="eastAsia" w:ascii="仿宋_GB2312" w:hAnsi="仿宋_GB2312" w:eastAsia="仿宋_GB2312"/>
        </w:rPr>
        <w:t>3．中心技术创新活动开展情况，包括重点技术创新项目的组织实施、关键核心技术和产品开发等。</w:t>
      </w:r>
    </w:p>
    <w:p>
      <w:pPr>
        <w:ind w:firstLine="640"/>
        <w:rPr>
          <w:rFonts w:ascii="仿宋_GB2312" w:hAnsi="仿宋_GB2312" w:eastAsia="仿宋_GB2312"/>
        </w:rPr>
      </w:pPr>
      <w:r>
        <w:rPr>
          <w:rFonts w:hint="eastAsia" w:ascii="仿宋_GB2312" w:hAnsi="仿宋_GB2312" w:eastAsia="仿宋_GB2312"/>
        </w:rPr>
        <w:t>4．中心取得的主要创新成果，形成的核心技术及自主知识产权情况，重点介绍相关技术成果对企业核心产品研发、核心竞争力提升的支撑作用，以及取得的经济社会效益。</w:t>
      </w:r>
    </w:p>
    <w:p>
      <w:pPr>
        <w:ind w:firstLine="640"/>
        <w:rPr>
          <w:rFonts w:ascii="仿宋_GB2312" w:hAnsi="仿宋_GB2312" w:eastAsia="仿宋_GB2312"/>
        </w:rPr>
      </w:pPr>
      <w:r>
        <w:rPr>
          <w:rFonts w:hint="eastAsia" w:ascii="仿宋_GB2312" w:hAnsi="仿宋_GB2312" w:eastAsia="仿宋_GB2312"/>
        </w:rPr>
        <w:t>5．其他有特色的工作情况。</w:t>
      </w:r>
    </w:p>
    <w:p>
      <w:pPr>
        <w:ind w:firstLine="0" w:firstLineChars="0"/>
      </w:pPr>
    </w:p>
    <w:p>
      <w:pPr>
        <w:ind w:firstLine="0" w:firstLineChars="0"/>
      </w:pPr>
    </w:p>
    <w:p>
      <w:pPr>
        <w:ind w:firstLine="0" w:firstLineChars="0"/>
      </w:pPr>
    </w:p>
    <w:p>
      <w:pPr>
        <w:ind w:firstLine="0" w:firstLineChars="0"/>
      </w:pPr>
    </w:p>
    <w:p>
      <w:pPr>
        <w:ind w:firstLine="0" w:firstLineChars="0"/>
        <w:rPr>
          <w:rFonts w:ascii="黑体" w:hAnsi="黑体" w:eastAsia="黑体" w:cs="黑体"/>
        </w:rPr>
      </w:pPr>
      <w:r>
        <w:rPr>
          <w:rFonts w:hint="eastAsia" w:ascii="黑体" w:hAnsi="黑体" w:eastAsia="黑体" w:cs="黑体"/>
        </w:rPr>
        <w:t>附件4</w:t>
      </w:r>
    </w:p>
    <w:p>
      <w:pPr>
        <w:spacing w:before="312" w:beforeLines="100"/>
        <w:ind w:firstLine="883"/>
        <w:jc w:val="center"/>
        <w:rPr>
          <w:rFonts w:ascii="宋体" w:hAnsi="宋体" w:eastAsia="宋体" w:cs="宋体"/>
          <w:b/>
          <w:bCs/>
          <w:sz w:val="44"/>
          <w:szCs w:val="44"/>
        </w:rPr>
      </w:pPr>
      <w:r>
        <w:rPr>
          <w:rFonts w:hint="eastAsia" w:ascii="宋体" w:hAnsi="宋体" w:cs="宋体"/>
          <w:b/>
          <w:bCs/>
          <w:sz w:val="44"/>
          <w:szCs w:val="44"/>
        </w:rPr>
        <w:t>聊城市</w:t>
      </w:r>
      <w:r>
        <w:rPr>
          <w:rFonts w:hint="eastAsia" w:ascii="宋体" w:hAnsi="宋体" w:eastAsia="宋体" w:cs="宋体"/>
          <w:b/>
          <w:bCs/>
          <w:sz w:val="44"/>
          <w:szCs w:val="44"/>
        </w:rPr>
        <w:t>工业企业“一企一技术”</w:t>
      </w:r>
    </w:p>
    <w:p>
      <w:pPr>
        <w:spacing w:after="312" w:afterLines="100"/>
        <w:ind w:firstLine="883"/>
        <w:jc w:val="center"/>
        <w:rPr>
          <w:rFonts w:ascii="宋体" w:hAnsi="宋体" w:eastAsia="宋体" w:cs="宋体"/>
          <w:b/>
          <w:bCs/>
          <w:sz w:val="44"/>
          <w:szCs w:val="44"/>
        </w:rPr>
      </w:pPr>
      <w:r>
        <w:rPr>
          <w:rFonts w:hint="eastAsia" w:ascii="宋体" w:hAnsi="宋体" w:eastAsia="宋体" w:cs="宋体"/>
          <w:b/>
          <w:bCs/>
          <w:sz w:val="44"/>
          <w:szCs w:val="44"/>
        </w:rPr>
        <w:t>研发中心评价指标体系</w:t>
      </w:r>
    </w:p>
    <w:tbl>
      <w:tblPr>
        <w:tblStyle w:val="8"/>
        <w:tblpPr w:leftFromText="180" w:rightFromText="180" w:vertAnchor="text" w:horzAnchor="page" w:tblpXSpec="center" w:tblpY="2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55"/>
        <w:gridCol w:w="3717"/>
        <w:gridCol w:w="993"/>
        <w:gridCol w:w="7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ind w:firstLine="0" w:firstLineChars="0"/>
              <w:jc w:val="center"/>
              <w:rPr>
                <w:rFonts w:ascii="黑体" w:hAnsi="黑体" w:eastAsia="黑体" w:cs="黑体"/>
                <w:sz w:val="24"/>
                <w:szCs w:val="24"/>
              </w:rPr>
            </w:pPr>
            <w:r>
              <w:rPr>
                <w:rFonts w:hint="eastAsia" w:ascii="黑体" w:hAnsi="黑体" w:eastAsia="黑体" w:cs="黑体"/>
                <w:sz w:val="24"/>
                <w:szCs w:val="24"/>
              </w:rPr>
              <w:t>一级指标</w:t>
            </w:r>
          </w:p>
        </w:tc>
        <w:tc>
          <w:tcPr>
            <w:tcW w:w="555" w:type="dxa"/>
          </w:tcPr>
          <w:p>
            <w:pPr>
              <w:ind w:firstLine="0" w:firstLineChars="0"/>
              <w:jc w:val="center"/>
              <w:rPr>
                <w:rFonts w:ascii="黑体" w:hAnsi="黑体" w:eastAsia="黑体" w:cs="黑体"/>
                <w:sz w:val="24"/>
                <w:szCs w:val="24"/>
              </w:rPr>
            </w:pPr>
            <w:r>
              <w:rPr>
                <w:rFonts w:hint="eastAsia" w:ascii="黑体" w:hAnsi="黑体" w:eastAsia="黑体" w:cs="黑体"/>
                <w:sz w:val="24"/>
                <w:szCs w:val="24"/>
              </w:rPr>
              <w:t>权重</w:t>
            </w:r>
          </w:p>
        </w:tc>
        <w:tc>
          <w:tcPr>
            <w:tcW w:w="3717"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二级指标</w:t>
            </w:r>
          </w:p>
        </w:tc>
        <w:tc>
          <w:tcPr>
            <w:tcW w:w="993"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单位</w:t>
            </w:r>
          </w:p>
        </w:tc>
        <w:tc>
          <w:tcPr>
            <w:tcW w:w="708"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权重</w:t>
            </w:r>
          </w:p>
        </w:tc>
        <w:tc>
          <w:tcPr>
            <w:tcW w:w="1701" w:type="dxa"/>
            <w:vAlign w:val="center"/>
          </w:tcPr>
          <w:p>
            <w:pPr>
              <w:ind w:firstLine="0" w:firstLineChars="0"/>
              <w:jc w:val="center"/>
              <w:rPr>
                <w:rFonts w:ascii="黑体" w:hAnsi="黑体" w:eastAsia="黑体" w:cs="黑体"/>
                <w:sz w:val="24"/>
                <w:szCs w:val="24"/>
              </w:rPr>
            </w:pPr>
            <w:r>
              <w:rPr>
                <w:rFonts w:hint="eastAsia" w:ascii="黑体" w:hAnsi="黑体" w:eastAsia="黑体" w:cs="黑体"/>
                <w:sz w:val="24"/>
                <w:szCs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创新投入</w:t>
            </w:r>
          </w:p>
        </w:tc>
        <w:tc>
          <w:tcPr>
            <w:tcW w:w="555" w:type="dxa"/>
            <w:vMerge w:val="restart"/>
            <w:vAlign w:val="center"/>
          </w:tcPr>
          <w:p>
            <w:pPr>
              <w:ind w:firstLine="480"/>
              <w:jc w:val="center"/>
              <w:rPr>
                <w:rFonts w:ascii="仿宋_GB2312" w:hAnsi="仿宋_GB2312" w:eastAsia="仿宋_GB2312"/>
                <w:sz w:val="24"/>
              </w:rPr>
            </w:pPr>
            <w:r>
              <w:rPr>
                <w:rFonts w:hint="eastAsia" w:ascii="仿宋_GB2312" w:hAnsi="仿宋_GB2312" w:eastAsia="仿宋_GB2312"/>
                <w:sz w:val="24"/>
              </w:rPr>
              <w:t>30</w:t>
            </w: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研发人员人均研发经费支出</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研发费用</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10</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≥50（分档）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研发经费支出同比增长</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3</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研发人员数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人</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6</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中高级职称人数（含硕士以上学历）</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人</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6</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创新条件</w:t>
            </w:r>
          </w:p>
        </w:tc>
        <w:tc>
          <w:tcPr>
            <w:tcW w:w="555" w:type="dxa"/>
            <w:vMerge w:val="restart"/>
            <w:vAlign w:val="center"/>
          </w:tcPr>
          <w:p>
            <w:pPr>
              <w:ind w:firstLine="480"/>
              <w:jc w:val="center"/>
              <w:rPr>
                <w:rFonts w:ascii="仿宋_GB2312" w:hAnsi="仿宋_GB2312" w:eastAsia="仿宋_GB2312"/>
                <w:sz w:val="24"/>
              </w:rPr>
            </w:pPr>
            <w:r>
              <w:rPr>
                <w:rFonts w:hint="eastAsia" w:ascii="仿宋_GB2312" w:hAnsi="仿宋_GB2312" w:eastAsia="仿宋_GB2312"/>
                <w:sz w:val="24"/>
              </w:rPr>
              <w:t>35</w:t>
            </w: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拥有的全部有效专利数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15</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≥8（分档）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其中：发明专利</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4</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≥2（分档）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全部研发项目数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≥3（分档）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技术开发仪器设备软件原值</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万元</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8</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≥50（分档）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通过国家（国际组织）、省认证的实验室</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个</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3</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创新绩效</w:t>
            </w:r>
          </w:p>
        </w:tc>
        <w:tc>
          <w:tcPr>
            <w:tcW w:w="555" w:type="dxa"/>
            <w:vMerge w:val="restart"/>
            <w:vAlign w:val="center"/>
          </w:tcPr>
          <w:p>
            <w:pPr>
              <w:ind w:firstLine="480"/>
              <w:jc w:val="center"/>
              <w:rPr>
                <w:rFonts w:ascii="仿宋_GB2312" w:hAnsi="仿宋_GB2312" w:eastAsia="仿宋_GB2312"/>
                <w:sz w:val="24"/>
              </w:rPr>
            </w:pPr>
            <w:r>
              <w:rPr>
                <w:rFonts w:hint="eastAsia" w:ascii="仿宋_GB2312" w:hAnsi="仿宋_GB2312" w:eastAsia="仿宋_GB2312"/>
                <w:sz w:val="24"/>
              </w:rPr>
              <w:t>35</w:t>
            </w: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当年被受理的专利申请数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12</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当年被受理的发明专利申请数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6</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获得的软件著作权数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4</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最近三年主持和参加制定的国际、国家、行业和团体、企业标准数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8</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0" w:firstLineChars="0"/>
              <w:jc w:val="center"/>
              <w:rPr>
                <w:rFonts w:ascii="仿宋_GB2312" w:hAnsi="仿宋_GB2312" w:eastAsia="仿宋_GB2312"/>
                <w:sz w:val="24"/>
                <w:szCs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专有技术产品国内市场占有率</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≥3(或排名)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vAlign w:val="center"/>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加分</w:t>
            </w:r>
          </w:p>
        </w:tc>
        <w:tc>
          <w:tcPr>
            <w:tcW w:w="555" w:type="dxa"/>
            <w:vMerge w:val="restart"/>
            <w:vAlign w:val="center"/>
          </w:tcPr>
          <w:p>
            <w:pPr>
              <w:ind w:firstLine="480"/>
              <w:jc w:val="center"/>
              <w:rPr>
                <w:rFonts w:ascii="仿宋_GB2312" w:hAnsi="仿宋_GB2312" w:eastAsia="仿宋_GB2312"/>
                <w:sz w:val="24"/>
              </w:rPr>
            </w:pPr>
            <w:r>
              <w:rPr>
                <w:rFonts w:hint="eastAsia" w:ascii="仿宋_GB2312" w:hAnsi="仿宋_GB2312" w:eastAsia="仿宋_GB2312"/>
                <w:sz w:val="24"/>
              </w:rPr>
              <w:t>30</w:t>
            </w: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承担的市级以上项目数量</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10</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vAlign w:val="center"/>
          </w:tcPr>
          <w:p>
            <w:pPr>
              <w:ind w:firstLine="480"/>
              <w:jc w:val="center"/>
              <w:rPr>
                <w:rFonts w:ascii="仿宋_GB2312" w:hAnsi="仿宋_GB2312" w:eastAsia="仿宋_GB2312"/>
                <w:sz w:val="24"/>
              </w:rPr>
            </w:pPr>
          </w:p>
        </w:tc>
        <w:tc>
          <w:tcPr>
            <w:tcW w:w="555" w:type="dxa"/>
            <w:vMerge w:val="continue"/>
            <w:vAlign w:val="center"/>
          </w:tcPr>
          <w:p>
            <w:pPr>
              <w:ind w:firstLine="480"/>
              <w:jc w:val="center"/>
              <w:rPr>
                <w:rFonts w:ascii="仿宋_GB2312" w:hAnsi="仿宋_GB2312" w:eastAsia="仿宋_GB2312"/>
                <w:sz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获得的市级以上科技奖励项目数</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10</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6" w:type="dxa"/>
            <w:vMerge w:val="continue"/>
          </w:tcPr>
          <w:p>
            <w:pPr>
              <w:ind w:firstLine="0" w:firstLineChars="0"/>
              <w:jc w:val="center"/>
              <w:rPr>
                <w:rFonts w:ascii="仿宋_GB2312" w:hAnsi="仿宋_GB2312" w:eastAsia="仿宋_GB2312"/>
                <w:sz w:val="24"/>
                <w:szCs w:val="24"/>
              </w:rPr>
            </w:pPr>
          </w:p>
        </w:tc>
        <w:tc>
          <w:tcPr>
            <w:tcW w:w="555" w:type="dxa"/>
            <w:vMerge w:val="continue"/>
          </w:tcPr>
          <w:p>
            <w:pPr>
              <w:ind w:firstLine="0" w:firstLineChars="0"/>
              <w:jc w:val="center"/>
              <w:rPr>
                <w:rFonts w:ascii="仿宋_GB2312" w:hAnsi="仿宋_GB2312" w:eastAsia="仿宋_GB2312"/>
                <w:sz w:val="24"/>
                <w:szCs w:val="24"/>
              </w:rPr>
            </w:pP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单项冠军、瞪羚企业、独角兽企业及国家、省技术创新示范企业</w:t>
            </w:r>
          </w:p>
        </w:tc>
        <w:tc>
          <w:tcPr>
            <w:tcW w:w="993"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项</w:t>
            </w: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10</w:t>
            </w:r>
          </w:p>
        </w:tc>
        <w:tc>
          <w:tcPr>
            <w:tcW w:w="1701"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 w:type="dxa"/>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减分</w:t>
            </w:r>
          </w:p>
        </w:tc>
        <w:tc>
          <w:tcPr>
            <w:tcW w:w="555" w:type="dxa"/>
          </w:tcPr>
          <w:p>
            <w:pPr>
              <w:ind w:firstLine="0" w:firstLineChars="0"/>
              <w:jc w:val="center"/>
              <w:rPr>
                <w:rFonts w:ascii="仿宋_GB2312" w:hAnsi="仿宋_GB2312" w:eastAsia="仿宋_GB2312"/>
                <w:sz w:val="24"/>
                <w:szCs w:val="24"/>
              </w:rPr>
            </w:pPr>
            <w:r>
              <w:rPr>
                <w:rFonts w:hint="eastAsia" w:ascii="仿宋_GB2312" w:hAnsi="仿宋_GB2312" w:eastAsia="仿宋_GB2312"/>
                <w:sz w:val="24"/>
                <w:szCs w:val="24"/>
              </w:rPr>
              <w:t>5</w:t>
            </w:r>
          </w:p>
        </w:tc>
        <w:tc>
          <w:tcPr>
            <w:tcW w:w="3717"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亏损</w:t>
            </w:r>
          </w:p>
        </w:tc>
        <w:tc>
          <w:tcPr>
            <w:tcW w:w="993" w:type="dxa"/>
            <w:vAlign w:val="center"/>
          </w:tcPr>
          <w:p>
            <w:pPr>
              <w:ind w:firstLine="0" w:firstLineChars="0"/>
              <w:rPr>
                <w:rFonts w:ascii="仿宋_GB2312" w:hAnsi="仿宋_GB2312" w:eastAsia="仿宋_GB2312"/>
                <w:sz w:val="24"/>
                <w:szCs w:val="24"/>
              </w:rPr>
            </w:pPr>
          </w:p>
        </w:tc>
        <w:tc>
          <w:tcPr>
            <w:tcW w:w="708" w:type="dxa"/>
            <w:vAlign w:val="center"/>
          </w:tcPr>
          <w:p>
            <w:pPr>
              <w:ind w:firstLine="0" w:firstLineChars="0"/>
              <w:rPr>
                <w:rFonts w:ascii="仿宋_GB2312" w:hAnsi="仿宋_GB2312" w:eastAsia="仿宋_GB2312"/>
                <w:sz w:val="24"/>
                <w:szCs w:val="24"/>
              </w:rPr>
            </w:pPr>
            <w:r>
              <w:rPr>
                <w:rFonts w:hint="eastAsia" w:ascii="仿宋_GB2312" w:hAnsi="仿宋_GB2312" w:eastAsia="仿宋_GB2312"/>
                <w:sz w:val="24"/>
                <w:szCs w:val="24"/>
              </w:rPr>
              <w:t>5</w:t>
            </w:r>
          </w:p>
        </w:tc>
        <w:tc>
          <w:tcPr>
            <w:tcW w:w="1701" w:type="dxa"/>
            <w:vAlign w:val="center"/>
          </w:tcPr>
          <w:p>
            <w:pPr>
              <w:ind w:firstLine="0" w:firstLineChars="0"/>
              <w:rPr>
                <w:rFonts w:ascii="仿宋_GB2312" w:hAnsi="仿宋_GB2312" w:eastAsia="仿宋_GB2312"/>
                <w:sz w:val="24"/>
                <w:szCs w:val="24"/>
              </w:rPr>
            </w:pPr>
          </w:p>
        </w:tc>
      </w:tr>
    </w:tbl>
    <w:p>
      <w:pPr>
        <w:ind w:firstLine="0" w:firstLineChars="0"/>
        <w:jc w:val="center"/>
        <w:rPr>
          <w:rFonts w:ascii="仿宋_GB2312" w:hAnsi="仿宋_GB2312" w:eastAsia="仿宋_GB2312"/>
          <w:sz w:val="24"/>
          <w:szCs w:val="24"/>
        </w:rPr>
      </w:pPr>
    </w:p>
    <w:p>
      <w:pPr>
        <w:ind w:firstLine="640"/>
        <w:rPr>
          <w:rFonts w:ascii="仿宋_GB2312" w:hAnsi="仿宋_GB2312" w:eastAsia="仿宋_GB2312"/>
        </w:rPr>
      </w:pP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8D3650"/>
    <w:rsid w:val="00757048"/>
    <w:rsid w:val="008811DD"/>
    <w:rsid w:val="00A113D5"/>
    <w:rsid w:val="00B100C7"/>
    <w:rsid w:val="00C11D12"/>
    <w:rsid w:val="081F489B"/>
    <w:rsid w:val="0B317E68"/>
    <w:rsid w:val="0B465DB3"/>
    <w:rsid w:val="0B6132D3"/>
    <w:rsid w:val="1CE07BA0"/>
    <w:rsid w:val="1D410086"/>
    <w:rsid w:val="1F960D89"/>
    <w:rsid w:val="24F776BD"/>
    <w:rsid w:val="2AE00E15"/>
    <w:rsid w:val="2AF8438A"/>
    <w:rsid w:val="30A11778"/>
    <w:rsid w:val="3196789D"/>
    <w:rsid w:val="31B55FCD"/>
    <w:rsid w:val="33CE5354"/>
    <w:rsid w:val="39EB7F53"/>
    <w:rsid w:val="3D7D4CC4"/>
    <w:rsid w:val="41E67AC2"/>
    <w:rsid w:val="42BD5DB5"/>
    <w:rsid w:val="467374D2"/>
    <w:rsid w:val="4B8D3650"/>
    <w:rsid w:val="4EF9181A"/>
    <w:rsid w:val="50294B44"/>
    <w:rsid w:val="5128605B"/>
    <w:rsid w:val="517A2D75"/>
    <w:rsid w:val="524B6B9E"/>
    <w:rsid w:val="555A5702"/>
    <w:rsid w:val="56FA4E75"/>
    <w:rsid w:val="59096852"/>
    <w:rsid w:val="5EA66527"/>
    <w:rsid w:val="66C26C46"/>
    <w:rsid w:val="6A562F45"/>
    <w:rsid w:val="6CF178C5"/>
    <w:rsid w:val="7173574E"/>
    <w:rsid w:val="73B646F8"/>
    <w:rsid w:val="73EB6144"/>
    <w:rsid w:val="79A72740"/>
    <w:rsid w:val="7C7467B6"/>
    <w:rsid w:val="7D12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仿宋" w:hAnsi="仿宋" w:eastAsia="仿宋" w:cs="仿宋_GB2312"/>
      <w:kern w:val="2"/>
      <w:sz w:val="32"/>
      <w:szCs w:val="32"/>
      <w:lang w:val="en-US" w:eastAsia="zh-CN" w:bidi="ar-SA"/>
    </w:rPr>
  </w:style>
  <w:style w:type="paragraph" w:styleId="2">
    <w:name w:val="heading 1"/>
    <w:basedOn w:val="1"/>
    <w:next w:val="1"/>
    <w:qFormat/>
    <w:uiPriority w:val="0"/>
    <w:pPr>
      <w:spacing w:before="100" w:beforeLines="100" w:after="150" w:afterLines="150" w:line="700" w:lineRule="exact"/>
      <w:ind w:firstLine="0" w:firstLineChars="0"/>
      <w:jc w:val="center"/>
      <w:outlineLvl w:val="0"/>
    </w:pPr>
    <w:rPr>
      <w:rFonts w:hint="eastAsia" w:ascii="宋体" w:hAnsi="宋体" w:eastAsia="方正小标宋简体" w:cs="Times New Roman"/>
      <w:kern w:val="44"/>
      <w:sz w:val="44"/>
      <w:szCs w:val="48"/>
    </w:rPr>
  </w:style>
  <w:style w:type="paragraph" w:styleId="3">
    <w:name w:val="heading 2"/>
    <w:basedOn w:val="1"/>
    <w:next w:val="1"/>
    <w:unhideWhenUsed/>
    <w:qFormat/>
    <w:uiPriority w:val="0"/>
    <w:pPr>
      <w:keepNext/>
      <w:keepLines/>
      <w:ind w:firstLine="0" w:firstLineChars="0"/>
      <w:jc w:val="center"/>
      <w:outlineLvl w:val="1"/>
    </w:pPr>
    <w:rPr>
      <w:rFonts w:ascii="Arial" w:hAnsi="Arial" w:eastAsia="黑体"/>
    </w:rPr>
  </w:style>
  <w:style w:type="paragraph" w:styleId="4">
    <w:name w:val="heading 3"/>
    <w:basedOn w:val="1"/>
    <w:next w:val="1"/>
    <w:link w:val="11"/>
    <w:unhideWhenUsed/>
    <w:qFormat/>
    <w:uiPriority w:val="0"/>
    <w:pPr>
      <w:jc w:val="left"/>
      <w:outlineLvl w:val="2"/>
    </w:pPr>
    <w:rPr>
      <w:rFonts w:hint="eastAsia" w:ascii="宋体" w:hAnsi="宋体" w:eastAsia="楷体" w:cs="Times New Roman"/>
      <w:kern w:val="0"/>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customStyle="1" w:styleId="10">
    <w:name w:val="段首"/>
    <w:basedOn w:val="1"/>
    <w:qFormat/>
    <w:uiPriority w:val="0"/>
    <w:rPr>
      <w:rFonts w:eastAsia="楷体"/>
    </w:rPr>
  </w:style>
  <w:style w:type="character" w:customStyle="1" w:styleId="11">
    <w:name w:val="标题 3 字符"/>
    <w:link w:val="4"/>
    <w:qFormat/>
    <w:uiPriority w:val="0"/>
    <w:rPr>
      <w:rFonts w:ascii="宋体" w:hAnsi="宋体" w:eastAsia="楷体" w:cs="宋体"/>
      <w:sz w:val="32"/>
    </w:rPr>
  </w:style>
  <w:style w:type="character" w:customStyle="1" w:styleId="12">
    <w:name w:val="页眉 字符"/>
    <w:basedOn w:val="9"/>
    <w:link w:val="7"/>
    <w:uiPriority w:val="0"/>
    <w:rPr>
      <w:rFonts w:ascii="仿宋" w:hAnsi="仿宋" w:eastAsia="仿宋" w:cs="仿宋_GB2312"/>
      <w:kern w:val="2"/>
      <w:sz w:val="18"/>
      <w:szCs w:val="18"/>
    </w:rPr>
  </w:style>
  <w:style w:type="character" w:customStyle="1" w:styleId="13">
    <w:name w:val="批注框文本 字符"/>
    <w:basedOn w:val="9"/>
    <w:link w:val="5"/>
    <w:uiPriority w:val="0"/>
    <w:rPr>
      <w:rFonts w:ascii="仿宋" w:hAnsi="仿宋" w:eastAsia="仿宋"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841</Words>
  <Characters>4800</Characters>
  <Lines>40</Lines>
  <Paragraphs>11</Paragraphs>
  <TotalTime>7</TotalTime>
  <ScaleCrop>false</ScaleCrop>
  <LinksUpToDate>false</LinksUpToDate>
  <CharactersWithSpaces>5630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2020-07-10T03:37:00Z</dcterms:created>
  <dc:creator>松</dc:creator>
  <cp:lastModifiedBy>Lenovo</cp:lastModifiedBy>
  <cp:lastPrinted>2020-08-04T02:10:16Z</cp:lastPrinted>
  <dcterms:modified xsi:type="dcterms:W3CDTF">2020-08-04T02:12:17Z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