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hint="eastAsia" w:ascii="仿宋_GB2312" w:hAnsi="仿宋_GB2312" w:eastAsia="仿宋_GB2312" w:cs="仿宋_GB2312"/>
          <w:color w:val="auto"/>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聊城市支持制造业高质量发展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20条措施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黑体简体" w:hAnsi="方正黑体简体" w:eastAsia="方正黑体简体" w:cs="方正黑体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一、鼓励企业做大做强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1.支持企业技术改造。</w:t>
      </w:r>
      <w:r>
        <w:rPr>
          <w:rFonts w:hint="eastAsia" w:ascii="仿宋_GB2312" w:hAnsi="仿宋_GB2312" w:eastAsia="仿宋_GB2312" w:cs="仿宋_GB2312"/>
          <w:color w:val="auto"/>
          <w:sz w:val="32"/>
          <w:szCs w:val="32"/>
        </w:rPr>
        <w:t>对计划总投资</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万元以上的制造业技术改造项目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按照设备(含软件)实际购置金额</w:t>
      </w:r>
      <w:r>
        <w:rPr>
          <w:rFonts w:hint="eastAsia" w:ascii="仿宋_GB2312" w:hAnsi="仿宋_GB2312" w:eastAsia="仿宋_GB2312" w:cs="仿宋_GB2312"/>
          <w:color w:val="auto"/>
          <w:sz w:val="32"/>
          <w:szCs w:val="32"/>
          <w:lang w:eastAsia="zh-CN"/>
        </w:rPr>
        <w:t>不超过</w:t>
      </w:r>
      <w:r>
        <w:rPr>
          <w:rFonts w:hint="eastAsia" w:ascii="仿宋_GB2312" w:hAnsi="仿宋_GB2312" w:eastAsia="仿宋_GB2312" w:cs="仿宋_GB2312"/>
          <w:color w:val="auto"/>
          <w:sz w:val="32"/>
          <w:szCs w:val="32"/>
          <w:lang w:val="en-US" w:eastAsia="zh-CN"/>
        </w:rPr>
        <w:t>10%的比例给予支持，单户企业最高支持200万元。</w:t>
      </w:r>
      <w:r>
        <w:rPr>
          <w:rFonts w:hint="eastAsia" w:ascii="仿宋_GB2312" w:hAnsi="仿宋_GB2312" w:eastAsia="仿宋_GB2312" w:cs="仿宋_GB2312"/>
          <w:color w:val="auto"/>
          <w:sz w:val="32"/>
          <w:szCs w:val="32"/>
        </w:rPr>
        <w:t>其中“亩产效益”综合评价结果为</w:t>
      </w:r>
      <w:r>
        <w:rPr>
          <w:rFonts w:hint="eastAsia" w:ascii="仿宋_GB2312" w:hAnsi="仿宋_GB2312" w:eastAsia="仿宋_GB2312" w:cs="仿宋_GB2312"/>
          <w:color w:val="auto"/>
          <w:sz w:val="32"/>
          <w:szCs w:val="32"/>
          <w:lang w:val="en-US" w:eastAsia="zh-CN"/>
        </w:rPr>
        <w:t>C</w:t>
      </w:r>
      <w:r>
        <w:rPr>
          <w:rFonts w:hint="eastAsia" w:ascii="仿宋_GB2312" w:hAnsi="仿宋_GB2312" w:eastAsia="仿宋_GB2312" w:cs="仿宋_GB2312"/>
          <w:color w:val="auto"/>
          <w:sz w:val="32"/>
          <w:szCs w:val="32"/>
        </w:rPr>
        <w:t>类和</w:t>
      </w:r>
      <w:r>
        <w:rPr>
          <w:rFonts w:hint="eastAsia" w:ascii="仿宋_GB2312" w:hAnsi="仿宋_GB2312" w:eastAsia="仿宋_GB2312" w:cs="仿宋_GB2312"/>
          <w:color w:val="auto"/>
          <w:sz w:val="32"/>
          <w:szCs w:val="32"/>
          <w:lang w:val="en-US" w:eastAsia="zh-CN"/>
        </w:rPr>
        <w:t>D</w:t>
      </w:r>
      <w:r>
        <w:rPr>
          <w:rFonts w:hint="eastAsia" w:ascii="仿宋_GB2312" w:hAnsi="仿宋_GB2312" w:eastAsia="仿宋_GB2312" w:cs="仿宋_GB2312"/>
          <w:color w:val="auto"/>
          <w:sz w:val="32"/>
          <w:szCs w:val="32"/>
        </w:rPr>
        <w:t>类的企业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设备(含软件)投资奖补的比例分别不</w:t>
      </w:r>
      <w:r>
        <w:rPr>
          <w:rFonts w:hint="eastAsia" w:ascii="仿宋_GB2312" w:hAnsi="仿宋_GB2312" w:eastAsia="仿宋_GB2312" w:cs="仿宋_GB2312"/>
          <w:b w:val="0"/>
          <w:bCs w:val="0"/>
          <w:color w:val="auto"/>
          <w:kern w:val="2"/>
          <w:sz w:val="32"/>
          <w:szCs w:val="32"/>
          <w:lang w:val="en-US" w:eastAsia="zh-CN" w:bidi="ar-SA"/>
        </w:rPr>
        <w:t>超过8%和7%。</w:t>
      </w:r>
      <w:r>
        <w:rPr>
          <w:rFonts w:hint="eastAsia" w:ascii="仿宋_GB2312" w:hAnsi="仿宋_GB2312" w:eastAsia="仿宋_GB2312" w:cs="仿宋_GB2312"/>
          <w:color w:val="auto"/>
          <w:sz w:val="32"/>
          <w:szCs w:val="32"/>
          <w:lang w:val="en-US" w:eastAsia="zh-CN"/>
        </w:rPr>
        <w:t>（责任单位：市工业和信息化局、市统计局、市财政局）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华文仿宋" w:hAnsi="华文仿宋" w:eastAsia="华文仿宋" w:cs="华文仿宋"/>
          <w:color w:val="auto"/>
          <w:sz w:val="32"/>
          <w:szCs w:val="32"/>
          <w:lang w:val="en-US" w:eastAsia="zh-CN"/>
        </w:rPr>
        <w:t>2</w:t>
      </w:r>
      <w:r>
        <w:rPr>
          <w:rFonts w:hint="eastAsia" w:ascii="方正楷体简体" w:hAnsi="方正楷体简体" w:eastAsia="方正楷体简体" w:cs="方正楷体简体"/>
          <w:color w:val="auto"/>
          <w:sz w:val="32"/>
          <w:szCs w:val="32"/>
          <w:lang w:val="en-US" w:eastAsia="zh-CN"/>
        </w:rPr>
        <w:t>.支持企业招商引资。</w:t>
      </w:r>
      <w:r>
        <w:rPr>
          <w:rFonts w:hint="eastAsia" w:ascii="仿宋_GB2312" w:hAnsi="仿宋_GB2312" w:eastAsia="仿宋_GB2312" w:cs="仿宋_GB2312"/>
          <w:color w:val="auto"/>
          <w:sz w:val="32"/>
          <w:szCs w:val="32"/>
          <w:lang w:val="en-US" w:eastAsia="zh-CN"/>
        </w:rPr>
        <w:t>在聊城市内已完成工商注册和税务登记，符合产业政策导向，具有独立法人资格，依法经营的外商投资企业当年实际利用外资金额1亿元人民币（不含）以下的，按当年实际利用外资额的1.5%予以奖励；当年实际利用外资1亿元人民币(含)以上的项目以及世界500强企业外商直接投资项目，按当年实际利用外资额的5%予以奖励，最高奖励5000万元。（责任单位：市商务和投资促进局、市财政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3.支持</w:t>
      </w:r>
      <w:r>
        <w:rPr>
          <w:rFonts w:hint="eastAsia" w:ascii="方正楷体简体" w:hAnsi="方正楷体简体" w:eastAsia="方正楷体简体" w:cs="方正楷体简体"/>
          <w:b w:val="0"/>
          <w:bCs w:val="0"/>
          <w:color w:val="auto"/>
          <w:kern w:val="2"/>
          <w:sz w:val="32"/>
          <w:szCs w:val="32"/>
          <w:lang w:val="en-US" w:eastAsia="zh-CN" w:bidi="ar-SA"/>
        </w:rPr>
        <w:t>新兴支柱企业发展。</w:t>
      </w:r>
      <w:r>
        <w:rPr>
          <w:rFonts w:hint="eastAsia" w:ascii="仿宋_GB2312" w:hAnsi="仿宋_GB2312" w:eastAsia="仿宋_GB2312" w:cs="仿宋_GB2312"/>
          <w:b w:val="0"/>
          <w:bCs w:val="0"/>
          <w:color w:val="auto"/>
          <w:kern w:val="2"/>
          <w:sz w:val="32"/>
          <w:szCs w:val="32"/>
          <w:lang w:val="en-US" w:eastAsia="zh-CN" w:bidi="ar-SA"/>
        </w:rPr>
        <w:t>在全市范围内遴选</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b w:val="0"/>
          <w:bCs w:val="0"/>
          <w:color w:val="auto"/>
          <w:kern w:val="2"/>
          <w:sz w:val="32"/>
          <w:szCs w:val="32"/>
          <w:lang w:val="en-US" w:eastAsia="zh-CN" w:bidi="ar-SA"/>
        </w:rPr>
        <w:t>家左右的企业进行连续扶持，依据评价结果排名给予100-300万元的分档奖励，并实施动态调整，连续支持三年。</w:t>
      </w:r>
      <w:r>
        <w:rPr>
          <w:rFonts w:hint="eastAsia" w:ascii="仿宋_GB2312" w:hAnsi="仿宋_GB2312" w:eastAsia="仿宋_GB2312" w:cs="仿宋_GB2312"/>
          <w:color w:val="auto"/>
          <w:sz w:val="32"/>
          <w:szCs w:val="32"/>
          <w:lang w:val="en-US" w:eastAsia="zh-CN"/>
        </w:rPr>
        <w:t>（责任单位：市工业和信息化局、市财政局）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hAnsi="Calibri" w:eastAsia="仿宋_GB2312" w:cs="Times New Roman"/>
          <w:b w:val="0"/>
          <w:bCs w:val="0"/>
          <w:color w:val="auto"/>
          <w:kern w:val="2"/>
          <w:sz w:val="32"/>
          <w:szCs w:val="32"/>
          <w:lang w:val="en-US" w:eastAsia="zh-CN" w:bidi="ar-SA"/>
        </w:rPr>
      </w:pPr>
      <w:r>
        <w:rPr>
          <w:rFonts w:hint="eastAsia" w:ascii="方正楷体简体" w:hAnsi="方正楷体简体" w:eastAsia="方正楷体简体" w:cs="方正楷体简体"/>
          <w:b w:val="0"/>
          <w:bCs w:val="0"/>
          <w:color w:val="auto"/>
          <w:kern w:val="2"/>
          <w:sz w:val="32"/>
          <w:szCs w:val="32"/>
          <w:lang w:val="en-US" w:eastAsia="zh-CN" w:bidi="ar-SA"/>
        </w:rPr>
        <w:t>4.支持工业企业升规纳统。</w:t>
      </w:r>
      <w:r>
        <w:rPr>
          <w:rFonts w:hint="eastAsia" w:hAnsi="Calibri" w:eastAsia="仿宋_GB2312" w:cs="Times New Roman"/>
          <w:b w:val="0"/>
          <w:bCs w:val="0"/>
          <w:color w:val="auto"/>
          <w:kern w:val="2"/>
          <w:sz w:val="32"/>
          <w:szCs w:val="32"/>
          <w:lang w:val="en-US" w:eastAsia="zh-CN" w:bidi="ar-SA"/>
        </w:rPr>
        <w:t>对新增规上企业，分两年给予最高</w:t>
      </w:r>
      <w:r>
        <w:rPr>
          <w:rFonts w:hint="eastAsia" w:ascii="华文仿宋" w:hAnsi="华文仿宋" w:eastAsia="华文仿宋" w:cs="华文仿宋"/>
          <w:color w:val="auto"/>
          <w:sz w:val="32"/>
          <w:szCs w:val="32"/>
          <w:lang w:val="en-US" w:eastAsia="zh-CN"/>
        </w:rPr>
        <w:t>10</w:t>
      </w:r>
      <w:r>
        <w:rPr>
          <w:rFonts w:hint="eastAsia" w:hAnsi="Calibri" w:eastAsia="仿宋_GB2312" w:cs="Times New Roman"/>
          <w:b w:val="0"/>
          <w:bCs w:val="0"/>
          <w:color w:val="auto"/>
          <w:kern w:val="2"/>
          <w:sz w:val="32"/>
          <w:szCs w:val="32"/>
          <w:lang w:val="en-US" w:eastAsia="zh-CN" w:bidi="ar-SA"/>
        </w:rPr>
        <w:t>万元的奖励，升规纳统当年给予</w:t>
      </w:r>
      <w:r>
        <w:rPr>
          <w:rFonts w:hint="eastAsia" w:ascii="华文仿宋" w:hAnsi="华文仿宋" w:eastAsia="华文仿宋" w:cs="华文仿宋"/>
          <w:color w:val="auto"/>
          <w:sz w:val="32"/>
          <w:szCs w:val="32"/>
          <w:lang w:val="en-US" w:eastAsia="zh-CN"/>
        </w:rPr>
        <w:t>50%</w:t>
      </w:r>
      <w:r>
        <w:rPr>
          <w:rFonts w:hint="eastAsia" w:hAnsi="Calibri" w:eastAsia="仿宋_GB2312" w:cs="Times New Roman"/>
          <w:b w:val="0"/>
          <w:bCs w:val="0"/>
          <w:color w:val="auto"/>
          <w:kern w:val="2"/>
          <w:sz w:val="32"/>
          <w:szCs w:val="32"/>
          <w:lang w:val="en-US" w:eastAsia="zh-CN" w:bidi="ar-SA"/>
        </w:rPr>
        <w:t>，</w:t>
      </w:r>
      <w:r>
        <w:rPr>
          <w:rFonts w:hint="eastAsia" w:eastAsia="仿宋_GB2312" w:cs="Times New Roman"/>
          <w:b w:val="0"/>
          <w:bCs w:val="0"/>
          <w:color w:val="auto"/>
          <w:kern w:val="2"/>
          <w:sz w:val="32"/>
          <w:szCs w:val="32"/>
          <w:lang w:val="en-US" w:eastAsia="zh-CN" w:bidi="ar-SA"/>
        </w:rPr>
        <w:t>连续两年营业收入保持增长的企业</w:t>
      </w:r>
      <w:r>
        <w:rPr>
          <w:rFonts w:hint="eastAsia" w:hAnsi="Calibri" w:eastAsia="仿宋_GB2312" w:cs="Times New Roman"/>
          <w:b w:val="0"/>
          <w:bCs w:val="0"/>
          <w:color w:val="auto"/>
          <w:kern w:val="2"/>
          <w:sz w:val="32"/>
          <w:szCs w:val="32"/>
          <w:lang w:val="en-US" w:eastAsia="zh-CN" w:bidi="ar-SA"/>
        </w:rPr>
        <w:t>给予另外</w:t>
      </w:r>
      <w:r>
        <w:rPr>
          <w:rFonts w:hint="eastAsia" w:ascii="华文仿宋" w:hAnsi="华文仿宋" w:eastAsia="华文仿宋" w:cs="华文仿宋"/>
          <w:color w:val="auto"/>
          <w:sz w:val="32"/>
          <w:szCs w:val="32"/>
          <w:lang w:val="en-US" w:eastAsia="zh-CN"/>
        </w:rPr>
        <w:t>50%</w:t>
      </w:r>
      <w:r>
        <w:rPr>
          <w:rFonts w:hint="eastAsia" w:hAnsi="Calibri" w:eastAsia="仿宋_GB2312" w:cs="Times New Roman"/>
          <w:b w:val="0"/>
          <w:bCs w:val="0"/>
          <w:color w:val="auto"/>
          <w:kern w:val="2"/>
          <w:sz w:val="32"/>
          <w:szCs w:val="32"/>
          <w:lang w:val="en-US" w:eastAsia="zh-CN" w:bidi="ar-SA"/>
        </w:rPr>
        <w:t>奖励。（</w:t>
      </w:r>
      <w:r>
        <w:rPr>
          <w:rFonts w:hint="eastAsia" w:eastAsia="仿宋_GB2312" w:cs="Times New Roman"/>
          <w:b w:val="0"/>
          <w:bCs w:val="0"/>
          <w:color w:val="auto"/>
          <w:kern w:val="2"/>
          <w:sz w:val="32"/>
          <w:szCs w:val="32"/>
          <w:lang w:val="en-US" w:eastAsia="zh-CN" w:bidi="ar-SA"/>
        </w:rPr>
        <w:t>责任</w:t>
      </w:r>
      <w:r>
        <w:rPr>
          <w:rFonts w:hint="eastAsia" w:hAnsi="Calibri" w:eastAsia="仿宋_GB2312" w:cs="Times New Roman"/>
          <w:b w:val="0"/>
          <w:bCs w:val="0"/>
          <w:color w:val="auto"/>
          <w:kern w:val="2"/>
          <w:sz w:val="32"/>
          <w:szCs w:val="32"/>
          <w:lang w:val="en-US" w:eastAsia="zh-CN" w:bidi="ar-SA"/>
        </w:rPr>
        <w:t>单位：市工业和信息化局、市统计局、市财政局）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楷体简体" w:hAnsi="方正楷体简体" w:eastAsia="方正楷体简体" w:cs="方正楷体简体"/>
          <w:color w:val="auto"/>
          <w:sz w:val="32"/>
          <w:szCs w:val="32"/>
          <w:lang w:val="en-US" w:eastAsia="zh-CN"/>
        </w:rPr>
        <w:t>5.支持企业首台（套）产品。</w:t>
      </w:r>
      <w:r>
        <w:rPr>
          <w:rFonts w:hint="eastAsia" w:hAnsi="Calibri" w:eastAsia="仿宋_GB2312" w:cs="Times New Roman"/>
          <w:b w:val="0"/>
          <w:bCs w:val="0"/>
          <w:color w:val="auto"/>
          <w:kern w:val="2"/>
          <w:sz w:val="32"/>
          <w:szCs w:val="32"/>
          <w:lang w:val="en-US" w:eastAsia="zh-CN" w:bidi="ar-SA"/>
        </w:rPr>
        <w:t xml:space="preserve">对企业投保首台 </w:t>
      </w:r>
      <w:r>
        <w:rPr>
          <w:rFonts w:hint="eastAsia" w:ascii="华文仿宋" w:hAnsi="华文仿宋" w:eastAsia="华文仿宋" w:cs="华文仿宋"/>
          <w:color w:val="auto"/>
          <w:sz w:val="32"/>
          <w:szCs w:val="32"/>
          <w:lang w:val="en-US" w:eastAsia="zh-CN"/>
        </w:rPr>
        <w:t>(套)技</w:t>
      </w:r>
      <w:r>
        <w:rPr>
          <w:rFonts w:hint="eastAsia" w:hAnsi="Calibri" w:eastAsia="仿宋_GB2312" w:cs="Times New Roman"/>
          <w:b w:val="0"/>
          <w:bCs w:val="0"/>
          <w:color w:val="auto"/>
          <w:kern w:val="2"/>
          <w:sz w:val="32"/>
          <w:szCs w:val="32"/>
          <w:lang w:val="en-US" w:eastAsia="zh-CN" w:bidi="ar-SA"/>
        </w:rPr>
        <w:t>术装备及关键核心零部件、首批</w:t>
      </w:r>
      <w:r>
        <w:rPr>
          <w:rFonts w:hint="eastAsia" w:ascii="华文仿宋" w:hAnsi="华文仿宋" w:eastAsia="华文仿宋" w:cs="华文仿宋"/>
          <w:color w:val="auto"/>
          <w:sz w:val="32"/>
          <w:szCs w:val="32"/>
          <w:lang w:val="en-US" w:eastAsia="zh-CN"/>
        </w:rPr>
        <w:t xml:space="preserve">(次) </w:t>
      </w:r>
      <w:r>
        <w:rPr>
          <w:rFonts w:hint="eastAsia" w:hAnsi="Calibri" w:eastAsia="仿宋_GB2312" w:cs="Times New Roman"/>
          <w:b w:val="0"/>
          <w:bCs w:val="0"/>
          <w:color w:val="auto"/>
          <w:kern w:val="2"/>
          <w:sz w:val="32"/>
          <w:szCs w:val="32"/>
          <w:lang w:val="en-US" w:eastAsia="zh-CN" w:bidi="ar-SA"/>
        </w:rPr>
        <w:t>新材料、首版</w:t>
      </w:r>
      <w:r>
        <w:rPr>
          <w:rFonts w:hint="eastAsia" w:ascii="华文仿宋" w:hAnsi="华文仿宋" w:eastAsia="华文仿宋" w:cs="华文仿宋"/>
          <w:color w:val="auto"/>
          <w:sz w:val="32"/>
          <w:szCs w:val="32"/>
          <w:lang w:val="en-US" w:eastAsia="zh-CN"/>
        </w:rPr>
        <w:t xml:space="preserve">(次) </w:t>
      </w:r>
      <w:r>
        <w:rPr>
          <w:rFonts w:hint="eastAsia" w:hAnsi="Calibri" w:eastAsia="仿宋_GB2312" w:cs="Times New Roman"/>
          <w:b w:val="0"/>
          <w:bCs w:val="0"/>
          <w:color w:val="auto"/>
          <w:kern w:val="2"/>
          <w:sz w:val="32"/>
          <w:szCs w:val="32"/>
          <w:lang w:val="en-US" w:eastAsia="zh-CN" w:bidi="ar-SA"/>
        </w:rPr>
        <w:t>软件产品的质量保证保险、产品责任保险和产品综合险</w:t>
      </w:r>
      <w:r>
        <w:rPr>
          <w:rFonts w:hint="eastAsia" w:eastAsia="仿宋_GB2312" w:cs="Times New Roman"/>
          <w:b w:val="0"/>
          <w:bCs w:val="0"/>
          <w:color w:val="auto"/>
          <w:kern w:val="2"/>
          <w:sz w:val="32"/>
          <w:szCs w:val="32"/>
          <w:lang w:val="en-US" w:eastAsia="zh-CN" w:bidi="ar-SA"/>
        </w:rPr>
        <w:t>，</w:t>
      </w:r>
      <w:r>
        <w:rPr>
          <w:rFonts w:hint="eastAsia" w:hAnsi="Calibri" w:eastAsia="仿宋_GB2312" w:cs="Times New Roman"/>
          <w:b w:val="0"/>
          <w:bCs w:val="0"/>
          <w:color w:val="auto"/>
          <w:kern w:val="2"/>
          <w:sz w:val="32"/>
          <w:szCs w:val="32"/>
          <w:lang w:val="en-US" w:eastAsia="zh-CN" w:bidi="ar-SA"/>
        </w:rPr>
        <w:t>按照不高于</w:t>
      </w:r>
      <w:r>
        <w:rPr>
          <w:rFonts w:hint="eastAsia" w:ascii="华文仿宋" w:hAnsi="华文仿宋" w:eastAsia="华文仿宋" w:cs="华文仿宋"/>
          <w:color w:val="auto"/>
          <w:sz w:val="32"/>
          <w:szCs w:val="32"/>
          <w:lang w:val="en-US" w:eastAsia="zh-CN"/>
        </w:rPr>
        <w:t>3%的</w:t>
      </w:r>
      <w:r>
        <w:rPr>
          <w:rFonts w:hint="eastAsia" w:hAnsi="Calibri" w:eastAsia="仿宋_GB2312" w:cs="Times New Roman"/>
          <w:b w:val="0"/>
          <w:bCs w:val="0"/>
          <w:color w:val="auto"/>
          <w:kern w:val="2"/>
          <w:sz w:val="32"/>
          <w:szCs w:val="32"/>
          <w:lang w:val="en-US" w:eastAsia="zh-CN" w:bidi="ar-SA"/>
        </w:rPr>
        <w:t>费率上限及实际投保年度保费</w:t>
      </w:r>
      <w:r>
        <w:rPr>
          <w:rFonts w:hint="eastAsia" w:ascii="华文仿宋" w:hAnsi="华文仿宋" w:eastAsia="华文仿宋" w:cs="华文仿宋"/>
          <w:color w:val="auto"/>
          <w:sz w:val="32"/>
          <w:szCs w:val="32"/>
          <w:lang w:val="en-US" w:eastAsia="zh-CN"/>
        </w:rPr>
        <w:t>20%</w:t>
      </w:r>
      <w:r>
        <w:rPr>
          <w:rFonts w:hint="eastAsia" w:hAnsi="Calibri" w:eastAsia="仿宋_GB2312" w:cs="Times New Roman"/>
          <w:b w:val="0"/>
          <w:bCs w:val="0"/>
          <w:color w:val="auto"/>
          <w:kern w:val="2"/>
          <w:sz w:val="32"/>
          <w:szCs w:val="32"/>
          <w:lang w:val="en-US" w:eastAsia="zh-CN" w:bidi="ar-SA"/>
        </w:rPr>
        <w:t>的比例</w:t>
      </w:r>
      <w:r>
        <w:rPr>
          <w:rFonts w:hint="eastAsia" w:eastAsia="仿宋_GB2312" w:cs="Times New Roman"/>
          <w:b w:val="0"/>
          <w:bCs w:val="0"/>
          <w:color w:val="auto"/>
          <w:kern w:val="2"/>
          <w:sz w:val="32"/>
          <w:szCs w:val="32"/>
          <w:lang w:val="en-US" w:eastAsia="zh-CN" w:bidi="ar-SA"/>
        </w:rPr>
        <w:t>，</w:t>
      </w:r>
      <w:r>
        <w:rPr>
          <w:rFonts w:hint="eastAsia" w:hAnsi="Calibri" w:eastAsia="仿宋_GB2312" w:cs="Times New Roman"/>
          <w:b w:val="0"/>
          <w:bCs w:val="0"/>
          <w:color w:val="auto"/>
          <w:kern w:val="2"/>
          <w:sz w:val="32"/>
          <w:szCs w:val="32"/>
          <w:lang w:val="en-US" w:eastAsia="zh-CN" w:bidi="ar-SA"/>
        </w:rPr>
        <w:t>给予单户企业年度最高</w:t>
      </w:r>
      <w:r>
        <w:rPr>
          <w:rFonts w:hint="eastAsia" w:ascii="华文仿宋" w:hAnsi="华文仿宋" w:eastAsia="华文仿宋" w:cs="华文仿宋"/>
          <w:color w:val="auto"/>
          <w:sz w:val="32"/>
          <w:szCs w:val="32"/>
          <w:lang w:val="en-US" w:eastAsia="zh-CN"/>
        </w:rPr>
        <w:t>100</w:t>
      </w:r>
      <w:r>
        <w:rPr>
          <w:rFonts w:hint="eastAsia" w:hAnsi="Calibri" w:eastAsia="仿宋_GB2312" w:cs="Times New Roman"/>
          <w:b w:val="0"/>
          <w:bCs w:val="0"/>
          <w:color w:val="auto"/>
          <w:kern w:val="2"/>
          <w:sz w:val="32"/>
          <w:szCs w:val="32"/>
          <w:lang w:val="en-US" w:eastAsia="zh-CN" w:bidi="ar-SA"/>
        </w:rPr>
        <w:t>万元的保费补贴。对于制造国家《首台（套）重大技术装备推广应用指导目录》内装备，且投保“综合</w:t>
      </w:r>
      <w:r>
        <w:rPr>
          <w:rFonts w:hint="eastAsia" w:ascii="仿宋_GB2312" w:hAnsi="仿宋_GB2312" w:eastAsia="仿宋_GB2312" w:cs="仿宋_GB2312"/>
          <w:color w:val="auto"/>
          <w:kern w:val="0"/>
          <w:sz w:val="32"/>
          <w:szCs w:val="32"/>
          <w:lang w:val="en-US" w:eastAsia="zh-CN" w:bidi="ar"/>
        </w:rPr>
        <w:t>险”或选择国际通行保险条款投保并获得中央财政保费补贴的企业，给予最高100万元一次性奖励。对于制造省《首台（套）技术装备和关键核心零部件推广应用指导目录》内产品，且投保产品质量保证保险、产品责任保险、质量保证和产品责任综合险等险种并获得省财政保费补贴的企业，给予最高50万元一次性奖励。（责任单位：市工业和信息化局、聊城银保监分局、市财政局）</w:t>
      </w:r>
    </w:p>
    <w:p>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方正楷体简体" w:hAnsi="方正楷体简体" w:eastAsia="方正楷体简体" w:cs="方正楷体简体"/>
          <w:b w:val="0"/>
          <w:bCs w:val="0"/>
          <w:color w:val="auto"/>
          <w:kern w:val="0"/>
          <w:sz w:val="32"/>
          <w:szCs w:val="24"/>
          <w:lang w:val="en-US" w:eastAsia="zh-CN" w:bidi="ar-SA"/>
        </w:rPr>
        <w:t>6.支持重点企业新上项目。</w:t>
      </w:r>
      <w:r>
        <w:rPr>
          <w:rFonts w:hint="eastAsia" w:ascii="仿宋_GB2312" w:hAnsi="仿宋_GB2312" w:eastAsia="仿宋_GB2312" w:cs="仿宋_GB2312"/>
          <w:b w:val="0"/>
          <w:bCs w:val="0"/>
          <w:color w:val="auto"/>
          <w:kern w:val="2"/>
          <w:sz w:val="32"/>
          <w:szCs w:val="32"/>
          <w:lang w:val="en-US" w:eastAsia="zh-CN" w:bidi="ar-SA"/>
        </w:rPr>
        <w:t>根据国家、省年度土地利用计划配置政策的动态要求，每年拿出一定比例的用地计划专项用于保障全市纳税亿元以上制造业企业新上项目的用地需求。2022年列支1000亩新增建设用地计划予以专项保障。（</w:t>
      </w:r>
      <w:r>
        <w:rPr>
          <w:rFonts w:hint="eastAsia" w:cs="仿宋_GB2312"/>
          <w:b w:val="0"/>
          <w:bCs w:val="0"/>
          <w:color w:val="auto"/>
          <w:kern w:val="2"/>
          <w:sz w:val="32"/>
          <w:szCs w:val="32"/>
          <w:lang w:val="en-US" w:eastAsia="zh-CN" w:bidi="ar-SA"/>
        </w:rPr>
        <w:t>责任</w:t>
      </w:r>
      <w:r>
        <w:rPr>
          <w:rFonts w:hint="eastAsia" w:ascii="仿宋_GB2312" w:hAnsi="仿宋_GB2312" w:eastAsia="仿宋_GB2312" w:cs="仿宋_GB2312"/>
          <w:b w:val="0"/>
          <w:bCs w:val="0"/>
          <w:color w:val="auto"/>
          <w:kern w:val="2"/>
          <w:sz w:val="32"/>
          <w:szCs w:val="32"/>
          <w:lang w:val="en-US" w:eastAsia="zh-CN" w:bidi="ar-SA"/>
        </w:rPr>
        <w:t>单位：市自然资源和规划局）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二、引导企业提质增效</w:t>
      </w:r>
    </w:p>
    <w:p>
      <w:pPr>
        <w:keepNext w:val="0"/>
        <w:keepLines w:val="0"/>
        <w:pageBreakBefore w:val="0"/>
        <w:widowControl/>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楷体简体" w:hAnsi="方正楷体简体" w:eastAsia="方正楷体简体" w:cs="方正楷体简体"/>
          <w:color w:val="auto"/>
          <w:sz w:val="32"/>
          <w:szCs w:val="32"/>
          <w:lang w:val="en-US" w:eastAsia="zh-CN"/>
        </w:rPr>
        <w:t>7.</w:t>
      </w:r>
      <w:r>
        <w:rPr>
          <w:rFonts w:hint="eastAsia" w:ascii="方正楷体简体" w:hAnsi="方正楷体简体" w:eastAsia="方正楷体简体" w:cs="方正楷体简体"/>
          <w:color w:val="auto"/>
          <w:kern w:val="0"/>
          <w:sz w:val="32"/>
          <w:szCs w:val="32"/>
          <w:lang w:val="en-US" w:eastAsia="zh-CN" w:bidi="ar"/>
        </w:rPr>
        <w:t>支持新材料产业发展。</w:t>
      </w:r>
      <w:r>
        <w:rPr>
          <w:rFonts w:hint="eastAsia" w:ascii="仿宋_GB2312" w:hAnsi="仿宋_GB2312" w:eastAsia="仿宋_GB2312" w:cs="仿宋_GB2312"/>
          <w:color w:val="auto"/>
          <w:kern w:val="0"/>
          <w:sz w:val="32"/>
          <w:szCs w:val="32"/>
          <w:lang w:val="en-US" w:eastAsia="zh-CN" w:bidi="ar"/>
        </w:rPr>
        <w:t>对新列入省新材料领军企业培育库的企业，给予最高20万元的一次性奖励；对新评选为省新材料领军企业50强的企业，给予最高50万元的一次性奖励。（责任单位：市工业和信息化局、市财政局）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华文仿宋" w:hAnsi="华文仿宋" w:eastAsia="华文仿宋" w:cs="华文仿宋"/>
          <w:color w:val="auto"/>
          <w:sz w:val="32"/>
          <w:szCs w:val="32"/>
          <w:lang w:eastAsia="zh-CN"/>
        </w:rPr>
      </w:pPr>
      <w:r>
        <w:rPr>
          <w:rFonts w:hint="eastAsia" w:ascii="方正楷体简体" w:hAnsi="方正楷体简体" w:eastAsia="方正楷体简体" w:cs="方正楷体简体"/>
          <w:color w:val="auto"/>
          <w:sz w:val="32"/>
          <w:szCs w:val="32"/>
          <w:lang w:val="en-US" w:eastAsia="zh-CN"/>
        </w:rPr>
        <w:t>8.支持企业做优做强。</w:t>
      </w:r>
      <w:r>
        <w:rPr>
          <w:rFonts w:hint="eastAsia" w:hAnsi="Calibri" w:eastAsia="仿宋_GB2312" w:cs="Times New Roman"/>
          <w:b w:val="0"/>
          <w:bCs w:val="0"/>
          <w:color w:val="auto"/>
          <w:kern w:val="2"/>
          <w:sz w:val="32"/>
          <w:szCs w:val="32"/>
          <w:lang w:val="en-US" w:eastAsia="zh-CN" w:bidi="ar-SA"/>
        </w:rPr>
        <w:t>对新认定为国家级单项冠军示范企业、产品的，分别给予</w:t>
      </w:r>
      <w:r>
        <w:rPr>
          <w:rFonts w:hint="eastAsia" w:eastAsia="仿宋_GB2312" w:cs="Times New Roman"/>
          <w:b w:val="0"/>
          <w:bCs w:val="0"/>
          <w:color w:val="auto"/>
          <w:kern w:val="2"/>
          <w:sz w:val="32"/>
          <w:szCs w:val="32"/>
          <w:lang w:val="en-US" w:eastAsia="zh-CN" w:bidi="ar-SA"/>
        </w:rPr>
        <w:t>最高</w:t>
      </w:r>
      <w:r>
        <w:rPr>
          <w:rFonts w:hint="eastAsia" w:ascii="仿宋_GB2312" w:hAnsi="仿宋_GB2312" w:eastAsia="仿宋_GB2312" w:cs="仿宋_GB2312"/>
          <w:color w:val="auto"/>
          <w:kern w:val="0"/>
          <w:sz w:val="32"/>
          <w:szCs w:val="32"/>
          <w:lang w:val="en-US" w:eastAsia="zh-CN" w:bidi="ar"/>
        </w:rPr>
        <w:t>200</w:t>
      </w:r>
      <w:r>
        <w:rPr>
          <w:rFonts w:hint="eastAsia" w:hAnsi="Calibri" w:eastAsia="仿宋_GB2312" w:cs="Times New Roman"/>
          <w:b w:val="0"/>
          <w:bCs w:val="0"/>
          <w:color w:val="auto"/>
          <w:kern w:val="2"/>
          <w:sz w:val="32"/>
          <w:szCs w:val="32"/>
          <w:lang w:val="en-US" w:eastAsia="zh-CN" w:bidi="ar-SA"/>
        </w:rPr>
        <w:t>万元、</w:t>
      </w:r>
      <w:r>
        <w:rPr>
          <w:rFonts w:hint="eastAsia" w:ascii="仿宋_GB2312" w:hAnsi="仿宋_GB2312" w:eastAsia="仿宋_GB2312" w:cs="仿宋_GB2312"/>
          <w:color w:val="auto"/>
          <w:kern w:val="0"/>
          <w:sz w:val="32"/>
          <w:szCs w:val="32"/>
          <w:lang w:val="en-US" w:eastAsia="zh-CN" w:bidi="ar"/>
        </w:rPr>
        <w:t>100</w:t>
      </w:r>
      <w:r>
        <w:rPr>
          <w:rFonts w:hint="eastAsia" w:hAnsi="Calibri" w:eastAsia="仿宋_GB2312" w:cs="Times New Roman"/>
          <w:b w:val="0"/>
          <w:bCs w:val="0"/>
          <w:color w:val="auto"/>
          <w:kern w:val="2"/>
          <w:sz w:val="32"/>
          <w:szCs w:val="32"/>
          <w:lang w:val="en-US" w:eastAsia="zh-CN" w:bidi="ar-SA"/>
        </w:rPr>
        <w:t>万元一次性奖励；对新认定为省级单项冠军</w:t>
      </w:r>
      <w:r>
        <w:rPr>
          <w:rFonts w:hint="eastAsia" w:eastAsia="仿宋_GB2312" w:cs="Times New Roman"/>
          <w:b w:val="0"/>
          <w:bCs w:val="0"/>
          <w:color w:val="auto"/>
          <w:kern w:val="2"/>
          <w:sz w:val="32"/>
          <w:szCs w:val="32"/>
          <w:lang w:val="en-US" w:eastAsia="zh-CN" w:bidi="ar-SA"/>
        </w:rPr>
        <w:t>示范企业、产品</w:t>
      </w:r>
      <w:r>
        <w:rPr>
          <w:rFonts w:hint="eastAsia" w:hAnsi="Calibri" w:eastAsia="仿宋_GB2312" w:cs="Times New Roman"/>
          <w:b w:val="0"/>
          <w:bCs w:val="0"/>
          <w:color w:val="auto"/>
          <w:kern w:val="2"/>
          <w:sz w:val="32"/>
          <w:szCs w:val="32"/>
          <w:lang w:val="en-US" w:eastAsia="zh-CN" w:bidi="ar-SA"/>
        </w:rPr>
        <w:t>的，</w:t>
      </w:r>
      <w:r>
        <w:rPr>
          <w:rFonts w:hint="eastAsia" w:eastAsia="仿宋_GB2312" w:cs="Times New Roman"/>
          <w:b w:val="0"/>
          <w:bCs w:val="0"/>
          <w:color w:val="auto"/>
          <w:kern w:val="2"/>
          <w:sz w:val="32"/>
          <w:szCs w:val="32"/>
          <w:lang w:val="en-US" w:eastAsia="zh-CN" w:bidi="ar-SA"/>
        </w:rPr>
        <w:t>分别</w:t>
      </w:r>
      <w:r>
        <w:rPr>
          <w:rFonts w:hint="eastAsia" w:hAnsi="Calibri" w:eastAsia="仿宋_GB2312" w:cs="Times New Roman"/>
          <w:b w:val="0"/>
          <w:bCs w:val="0"/>
          <w:color w:val="auto"/>
          <w:kern w:val="2"/>
          <w:sz w:val="32"/>
          <w:szCs w:val="32"/>
          <w:lang w:val="en-US" w:eastAsia="zh-CN" w:bidi="ar-SA"/>
        </w:rPr>
        <w:t>给予</w:t>
      </w:r>
      <w:r>
        <w:rPr>
          <w:rFonts w:hint="eastAsia" w:eastAsia="仿宋_GB2312" w:cs="Times New Roman"/>
          <w:b w:val="0"/>
          <w:bCs w:val="0"/>
          <w:color w:val="auto"/>
          <w:kern w:val="2"/>
          <w:sz w:val="32"/>
          <w:szCs w:val="32"/>
          <w:lang w:val="en-US" w:eastAsia="zh-CN" w:bidi="ar-SA"/>
        </w:rPr>
        <w:t>最高</w:t>
      </w:r>
      <w:r>
        <w:rPr>
          <w:rFonts w:hint="eastAsia" w:ascii="仿宋_GB2312" w:hAnsi="仿宋_GB2312" w:eastAsia="仿宋_GB2312" w:cs="仿宋_GB2312"/>
          <w:color w:val="auto"/>
          <w:kern w:val="0"/>
          <w:sz w:val="32"/>
          <w:szCs w:val="32"/>
          <w:lang w:val="en-US" w:eastAsia="zh-CN" w:bidi="ar"/>
        </w:rPr>
        <w:t>100</w:t>
      </w:r>
      <w:r>
        <w:rPr>
          <w:rFonts w:hint="eastAsia" w:hAnsi="Calibri" w:eastAsia="仿宋_GB2312" w:cs="Times New Roman"/>
          <w:b w:val="0"/>
          <w:bCs w:val="0"/>
          <w:color w:val="auto"/>
          <w:kern w:val="2"/>
          <w:sz w:val="32"/>
          <w:szCs w:val="32"/>
          <w:lang w:val="en-US" w:eastAsia="zh-CN" w:bidi="ar-SA"/>
        </w:rPr>
        <w:t>万元</w:t>
      </w:r>
      <w:r>
        <w:rPr>
          <w:rFonts w:hint="eastAsia" w:eastAsia="仿宋_GB2312" w:cs="Times New Roman"/>
          <w:b w:val="0"/>
          <w:bCs w:val="0"/>
          <w:color w:val="auto"/>
          <w:kern w:val="2"/>
          <w:sz w:val="32"/>
          <w:szCs w:val="32"/>
          <w:lang w:val="en-US" w:eastAsia="zh-CN" w:bidi="ar-SA"/>
        </w:rPr>
        <w:t>、</w:t>
      </w:r>
      <w:r>
        <w:rPr>
          <w:rFonts w:hint="eastAsia" w:ascii="仿宋_GB2312" w:hAnsi="仿宋_GB2312" w:eastAsia="仿宋_GB2312" w:cs="仿宋_GB2312"/>
          <w:color w:val="auto"/>
          <w:kern w:val="0"/>
          <w:sz w:val="32"/>
          <w:szCs w:val="32"/>
          <w:lang w:val="en-US" w:eastAsia="zh-CN" w:bidi="ar"/>
        </w:rPr>
        <w:t>50</w:t>
      </w:r>
      <w:r>
        <w:rPr>
          <w:rFonts w:hint="eastAsia" w:eastAsia="仿宋_GB2312" w:cs="Times New Roman"/>
          <w:b w:val="0"/>
          <w:bCs w:val="0"/>
          <w:color w:val="auto"/>
          <w:kern w:val="2"/>
          <w:sz w:val="32"/>
          <w:szCs w:val="32"/>
          <w:lang w:val="en-US" w:eastAsia="zh-CN" w:bidi="ar-SA"/>
        </w:rPr>
        <w:t>万元的</w:t>
      </w:r>
      <w:r>
        <w:rPr>
          <w:rFonts w:hint="eastAsia" w:hAnsi="Calibri" w:eastAsia="仿宋_GB2312" w:cs="Times New Roman"/>
          <w:b w:val="0"/>
          <w:bCs w:val="0"/>
          <w:color w:val="auto"/>
          <w:kern w:val="2"/>
          <w:sz w:val="32"/>
          <w:szCs w:val="32"/>
          <w:lang w:val="en-US" w:eastAsia="zh-CN" w:bidi="ar-SA"/>
        </w:rPr>
        <w:t>一次性奖励；对被新认定为国家级、省级“专精特新”企业的，分别给予最高</w:t>
      </w:r>
      <w:r>
        <w:rPr>
          <w:rFonts w:hint="eastAsia" w:ascii="仿宋_GB2312" w:hAnsi="仿宋_GB2312" w:eastAsia="仿宋_GB2312" w:cs="仿宋_GB2312"/>
          <w:color w:val="auto"/>
          <w:kern w:val="0"/>
          <w:sz w:val="32"/>
          <w:szCs w:val="32"/>
          <w:lang w:val="en-US" w:eastAsia="zh-CN" w:bidi="ar"/>
        </w:rPr>
        <w:t>50</w:t>
      </w:r>
      <w:r>
        <w:rPr>
          <w:rFonts w:hint="eastAsia" w:hAnsi="Calibri" w:eastAsia="仿宋_GB2312" w:cs="Times New Roman"/>
          <w:b w:val="0"/>
          <w:bCs w:val="0"/>
          <w:color w:val="auto"/>
          <w:kern w:val="2"/>
          <w:sz w:val="32"/>
          <w:szCs w:val="32"/>
          <w:lang w:val="en-US" w:eastAsia="zh-CN" w:bidi="ar-SA"/>
        </w:rPr>
        <w:t>万元、</w:t>
      </w:r>
      <w:r>
        <w:rPr>
          <w:rFonts w:hint="eastAsia" w:ascii="仿宋_GB2312" w:hAnsi="仿宋_GB2312" w:eastAsia="仿宋_GB2312" w:cs="仿宋_GB2312"/>
          <w:color w:val="auto"/>
          <w:kern w:val="0"/>
          <w:sz w:val="32"/>
          <w:szCs w:val="32"/>
          <w:lang w:val="en-US" w:eastAsia="zh-CN" w:bidi="ar"/>
        </w:rPr>
        <w:t>30</w:t>
      </w:r>
      <w:r>
        <w:rPr>
          <w:rFonts w:hint="eastAsia" w:hAnsi="Calibri" w:eastAsia="仿宋_GB2312" w:cs="Times New Roman"/>
          <w:b w:val="0"/>
          <w:bCs w:val="0"/>
          <w:color w:val="auto"/>
          <w:kern w:val="2"/>
          <w:sz w:val="32"/>
          <w:szCs w:val="32"/>
          <w:lang w:val="en-US" w:eastAsia="zh-CN" w:bidi="ar-SA"/>
        </w:rPr>
        <w:t>万元</w:t>
      </w:r>
      <w:r>
        <w:rPr>
          <w:rFonts w:hint="eastAsia" w:eastAsia="仿宋_GB2312" w:cs="Times New Roman"/>
          <w:b w:val="0"/>
          <w:bCs w:val="0"/>
          <w:color w:val="auto"/>
          <w:kern w:val="2"/>
          <w:sz w:val="32"/>
          <w:szCs w:val="32"/>
          <w:lang w:val="en-US" w:eastAsia="zh-CN" w:bidi="ar-SA"/>
        </w:rPr>
        <w:t>一次性</w:t>
      </w:r>
      <w:r>
        <w:rPr>
          <w:rFonts w:hint="eastAsia" w:hAnsi="Calibri" w:eastAsia="仿宋_GB2312" w:cs="Times New Roman"/>
          <w:b w:val="0"/>
          <w:bCs w:val="0"/>
          <w:color w:val="auto"/>
          <w:kern w:val="2"/>
          <w:sz w:val="32"/>
          <w:szCs w:val="32"/>
          <w:lang w:val="en-US" w:eastAsia="zh-CN" w:bidi="ar-SA"/>
        </w:rPr>
        <w:t>奖励。对被新认定为省级“独角兽”、“瞪羚”企业的，分别给予最高</w:t>
      </w:r>
      <w:r>
        <w:rPr>
          <w:rFonts w:hint="eastAsia" w:ascii="仿宋_GB2312" w:hAnsi="仿宋_GB2312" w:eastAsia="仿宋_GB2312" w:cs="仿宋_GB2312"/>
          <w:color w:val="auto"/>
          <w:kern w:val="0"/>
          <w:sz w:val="32"/>
          <w:szCs w:val="32"/>
          <w:lang w:val="en-US" w:eastAsia="zh-CN" w:bidi="ar"/>
        </w:rPr>
        <w:t>100万</w:t>
      </w:r>
      <w:r>
        <w:rPr>
          <w:rFonts w:hint="eastAsia" w:hAnsi="Calibri" w:eastAsia="仿宋_GB2312" w:cs="Times New Roman"/>
          <w:b w:val="0"/>
          <w:bCs w:val="0"/>
          <w:color w:val="auto"/>
          <w:kern w:val="2"/>
          <w:sz w:val="32"/>
          <w:szCs w:val="32"/>
          <w:lang w:val="en-US" w:eastAsia="zh-CN" w:bidi="ar-SA"/>
        </w:rPr>
        <w:t>元、</w:t>
      </w:r>
      <w:r>
        <w:rPr>
          <w:rFonts w:hint="eastAsia" w:ascii="仿宋_GB2312" w:hAnsi="仿宋_GB2312" w:eastAsia="仿宋_GB2312" w:cs="仿宋_GB2312"/>
          <w:color w:val="auto"/>
          <w:kern w:val="0"/>
          <w:sz w:val="32"/>
          <w:szCs w:val="32"/>
          <w:lang w:val="en-US" w:eastAsia="zh-CN" w:bidi="ar"/>
        </w:rPr>
        <w:t>30</w:t>
      </w:r>
      <w:r>
        <w:rPr>
          <w:rFonts w:hint="eastAsia" w:hAnsi="Calibri" w:eastAsia="仿宋_GB2312" w:cs="Times New Roman"/>
          <w:b w:val="0"/>
          <w:bCs w:val="0"/>
          <w:color w:val="auto"/>
          <w:kern w:val="2"/>
          <w:sz w:val="32"/>
          <w:szCs w:val="32"/>
          <w:lang w:val="en-US" w:eastAsia="zh-CN" w:bidi="ar-SA"/>
        </w:rPr>
        <w:t>万元</w:t>
      </w:r>
      <w:r>
        <w:rPr>
          <w:rFonts w:hint="eastAsia" w:eastAsia="仿宋_GB2312" w:cs="Times New Roman"/>
          <w:b w:val="0"/>
          <w:bCs w:val="0"/>
          <w:color w:val="auto"/>
          <w:kern w:val="2"/>
          <w:sz w:val="32"/>
          <w:szCs w:val="32"/>
          <w:lang w:val="en-US" w:eastAsia="zh-CN" w:bidi="ar-SA"/>
        </w:rPr>
        <w:t>一次性</w:t>
      </w:r>
      <w:r>
        <w:rPr>
          <w:rFonts w:hint="eastAsia" w:hAnsi="Calibri" w:eastAsia="仿宋_GB2312" w:cs="Times New Roman"/>
          <w:b w:val="0"/>
          <w:bCs w:val="0"/>
          <w:color w:val="auto"/>
          <w:kern w:val="2"/>
          <w:sz w:val="32"/>
          <w:szCs w:val="32"/>
          <w:lang w:val="en-US" w:eastAsia="zh-CN" w:bidi="ar-SA"/>
        </w:rPr>
        <w:t>奖励</w:t>
      </w:r>
      <w:r>
        <w:rPr>
          <w:rFonts w:hint="eastAsia" w:eastAsia="仿宋_GB2312" w:cs="Times New Roman"/>
          <w:b w:val="0"/>
          <w:bCs w:val="0"/>
          <w:color w:val="auto"/>
          <w:kern w:val="2"/>
          <w:sz w:val="32"/>
          <w:szCs w:val="32"/>
          <w:lang w:val="en-US" w:eastAsia="zh-CN" w:bidi="ar-SA"/>
        </w:rPr>
        <w:t>。</w:t>
      </w:r>
      <w:r>
        <w:rPr>
          <w:rFonts w:hint="eastAsia" w:ascii="华文仿宋" w:hAnsi="华文仿宋" w:eastAsia="华文仿宋" w:cs="华文仿宋"/>
          <w:color w:val="auto"/>
          <w:sz w:val="32"/>
          <w:szCs w:val="32"/>
          <w:lang w:eastAsia="zh-CN"/>
        </w:rPr>
        <w:t>（责任单位：市工业和信息化局、市财政局）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hAnsi="Calibri" w:eastAsia="仿宋_GB2312" w:cs="Times New Roman"/>
          <w:b w:val="0"/>
          <w:bCs w:val="0"/>
          <w:color w:val="auto"/>
          <w:kern w:val="2"/>
          <w:sz w:val="32"/>
          <w:szCs w:val="32"/>
          <w:lang w:val="en-US" w:eastAsia="zh-CN" w:bidi="ar-SA"/>
        </w:rPr>
      </w:pPr>
      <w:r>
        <w:rPr>
          <w:rFonts w:hint="eastAsia" w:ascii="方正楷体简体" w:hAnsi="方正楷体简体" w:eastAsia="方正楷体简体" w:cs="方正楷体简体"/>
          <w:color w:val="auto"/>
          <w:sz w:val="32"/>
          <w:szCs w:val="32"/>
          <w:lang w:val="en-US" w:eastAsia="zh-CN"/>
        </w:rPr>
        <w:t>9.支持企业技术创新。</w:t>
      </w:r>
      <w:r>
        <w:rPr>
          <w:rFonts w:hint="eastAsia" w:ascii="仿宋_GB2312" w:hAnsi="仿宋_GB2312" w:eastAsia="仿宋_GB2312" w:cs="仿宋_GB2312"/>
          <w:bCs w:val="0"/>
          <w:color w:val="auto"/>
          <w:kern w:val="2"/>
          <w:sz w:val="32"/>
          <w:szCs w:val="32"/>
        </w:rPr>
        <w:t>对成功创建国家级、省级制造业创新中心的分别给予</w:t>
      </w:r>
      <w:r>
        <w:rPr>
          <w:rFonts w:hint="eastAsia" w:ascii="仿宋_GB2312" w:hAnsi="仿宋_GB2312" w:eastAsia="仿宋_GB2312" w:cs="仿宋_GB2312"/>
          <w:bCs w:val="0"/>
          <w:color w:val="auto"/>
          <w:kern w:val="2"/>
          <w:sz w:val="32"/>
          <w:szCs w:val="32"/>
          <w:lang w:eastAsia="zh-CN"/>
        </w:rPr>
        <w:t>最高</w:t>
      </w:r>
      <w:r>
        <w:rPr>
          <w:rFonts w:hint="eastAsia" w:ascii="仿宋_GB2312" w:hAnsi="仿宋_GB2312" w:eastAsia="仿宋_GB2312" w:cs="仿宋_GB2312"/>
          <w:bCs w:val="0"/>
          <w:color w:val="auto"/>
          <w:kern w:val="2"/>
          <w:sz w:val="32"/>
          <w:szCs w:val="32"/>
        </w:rPr>
        <w:t>500万元、200万元的一次性奖励。</w:t>
      </w:r>
      <w:r>
        <w:rPr>
          <w:rFonts w:hint="eastAsia" w:hAnsi="Calibri" w:eastAsia="仿宋_GB2312" w:cs="Times New Roman"/>
          <w:b w:val="0"/>
          <w:bCs w:val="0"/>
          <w:color w:val="auto"/>
          <w:kern w:val="2"/>
          <w:sz w:val="32"/>
          <w:szCs w:val="32"/>
          <w:lang w:val="en-US" w:eastAsia="zh-CN" w:bidi="ar-SA"/>
        </w:rPr>
        <w:t>对新认定的国家级、省级技术创新示范企业分别给予最高</w:t>
      </w:r>
      <w:r>
        <w:rPr>
          <w:rFonts w:hint="eastAsia" w:ascii="仿宋_GB2312" w:hAnsi="仿宋_GB2312" w:eastAsia="仿宋_GB2312" w:cs="仿宋_GB2312"/>
          <w:bCs w:val="0"/>
          <w:color w:val="auto"/>
          <w:kern w:val="2"/>
          <w:sz w:val="32"/>
          <w:szCs w:val="32"/>
          <w:lang w:val="en-US" w:eastAsia="zh-CN"/>
        </w:rPr>
        <w:t>200</w:t>
      </w:r>
      <w:r>
        <w:rPr>
          <w:rFonts w:hint="eastAsia" w:hAnsi="Calibri" w:eastAsia="仿宋_GB2312" w:cs="Times New Roman"/>
          <w:b w:val="0"/>
          <w:bCs w:val="0"/>
          <w:color w:val="auto"/>
          <w:kern w:val="2"/>
          <w:sz w:val="32"/>
          <w:szCs w:val="32"/>
          <w:lang w:val="en-US" w:eastAsia="zh-CN" w:bidi="ar-SA"/>
        </w:rPr>
        <w:t>万元、</w:t>
      </w:r>
      <w:r>
        <w:rPr>
          <w:rFonts w:hint="eastAsia" w:ascii="仿宋_GB2312" w:hAnsi="仿宋_GB2312" w:eastAsia="仿宋_GB2312" w:cs="仿宋_GB2312"/>
          <w:bCs w:val="0"/>
          <w:color w:val="auto"/>
          <w:kern w:val="2"/>
          <w:sz w:val="32"/>
          <w:szCs w:val="32"/>
          <w:lang w:val="en-US" w:eastAsia="zh-CN"/>
        </w:rPr>
        <w:t>100万</w:t>
      </w:r>
      <w:r>
        <w:rPr>
          <w:rFonts w:hint="eastAsia" w:hAnsi="Calibri" w:eastAsia="仿宋_GB2312" w:cs="Times New Roman"/>
          <w:b w:val="0"/>
          <w:bCs w:val="0"/>
          <w:color w:val="auto"/>
          <w:kern w:val="2"/>
          <w:sz w:val="32"/>
          <w:szCs w:val="32"/>
          <w:lang w:val="en-US" w:eastAsia="zh-CN" w:bidi="ar-SA"/>
        </w:rPr>
        <w:t>元一次性奖励；对新认定的国家级、省级工业设计中心企业分别给予</w:t>
      </w:r>
      <w:r>
        <w:rPr>
          <w:rFonts w:hint="eastAsia" w:eastAsia="仿宋_GB2312" w:cs="Times New Roman"/>
          <w:b w:val="0"/>
          <w:bCs w:val="0"/>
          <w:color w:val="auto"/>
          <w:kern w:val="2"/>
          <w:sz w:val="32"/>
          <w:szCs w:val="32"/>
          <w:lang w:val="en-US" w:eastAsia="zh-CN" w:bidi="ar-SA"/>
        </w:rPr>
        <w:t>最高</w:t>
      </w:r>
      <w:r>
        <w:rPr>
          <w:rFonts w:hint="eastAsia" w:ascii="仿宋_GB2312" w:hAnsi="仿宋_GB2312" w:eastAsia="仿宋_GB2312" w:cs="仿宋_GB2312"/>
          <w:bCs w:val="0"/>
          <w:color w:val="auto"/>
          <w:kern w:val="2"/>
          <w:sz w:val="32"/>
          <w:szCs w:val="32"/>
          <w:lang w:val="en-US" w:eastAsia="zh-CN"/>
        </w:rPr>
        <w:t>200</w:t>
      </w:r>
      <w:r>
        <w:rPr>
          <w:rFonts w:hint="eastAsia" w:hAnsi="Calibri" w:eastAsia="仿宋_GB2312" w:cs="Times New Roman"/>
          <w:b w:val="0"/>
          <w:bCs w:val="0"/>
          <w:color w:val="auto"/>
          <w:kern w:val="2"/>
          <w:sz w:val="32"/>
          <w:szCs w:val="32"/>
          <w:lang w:val="en-US" w:eastAsia="zh-CN" w:bidi="ar-SA"/>
        </w:rPr>
        <w:t>万元、</w:t>
      </w:r>
      <w:r>
        <w:rPr>
          <w:rFonts w:hint="eastAsia" w:ascii="仿宋_GB2312" w:hAnsi="仿宋_GB2312" w:eastAsia="仿宋_GB2312" w:cs="仿宋_GB2312"/>
          <w:bCs w:val="0"/>
          <w:color w:val="auto"/>
          <w:kern w:val="2"/>
          <w:sz w:val="32"/>
          <w:szCs w:val="32"/>
          <w:lang w:val="en-US" w:eastAsia="zh-CN"/>
        </w:rPr>
        <w:t>50</w:t>
      </w:r>
      <w:r>
        <w:rPr>
          <w:rFonts w:hint="eastAsia" w:hAnsi="Calibri" w:eastAsia="仿宋_GB2312" w:cs="Times New Roman"/>
          <w:b w:val="0"/>
          <w:bCs w:val="0"/>
          <w:color w:val="auto"/>
          <w:kern w:val="2"/>
          <w:sz w:val="32"/>
          <w:szCs w:val="32"/>
          <w:lang w:val="en-US" w:eastAsia="zh-CN" w:bidi="ar-SA"/>
        </w:rPr>
        <w:t>万元一次性奖励；对新认定的省级“一企一技术”研发中心企业给予</w:t>
      </w:r>
      <w:r>
        <w:rPr>
          <w:rFonts w:hint="eastAsia" w:ascii="仿宋_GB2312" w:hAnsi="仿宋_GB2312" w:eastAsia="仿宋_GB2312" w:cs="仿宋_GB2312"/>
          <w:bCs w:val="0"/>
          <w:color w:val="auto"/>
          <w:kern w:val="2"/>
          <w:sz w:val="32"/>
          <w:szCs w:val="32"/>
          <w:lang w:val="en-US" w:eastAsia="zh-CN"/>
        </w:rPr>
        <w:t>50</w:t>
      </w:r>
      <w:r>
        <w:rPr>
          <w:rFonts w:hint="eastAsia" w:hAnsi="Calibri" w:eastAsia="仿宋_GB2312" w:cs="Times New Roman"/>
          <w:b w:val="0"/>
          <w:bCs w:val="0"/>
          <w:color w:val="auto"/>
          <w:kern w:val="2"/>
          <w:sz w:val="32"/>
          <w:szCs w:val="32"/>
          <w:lang w:val="en-US" w:eastAsia="zh-CN" w:bidi="ar-SA"/>
        </w:rPr>
        <w:t>万元一次性奖励。（</w:t>
      </w:r>
      <w:r>
        <w:rPr>
          <w:rFonts w:hint="eastAsia" w:eastAsia="仿宋_GB2312" w:cs="Times New Roman"/>
          <w:b w:val="0"/>
          <w:bCs w:val="0"/>
          <w:color w:val="auto"/>
          <w:kern w:val="2"/>
          <w:sz w:val="32"/>
          <w:szCs w:val="32"/>
          <w:lang w:val="en-US" w:eastAsia="zh-CN" w:bidi="ar-SA"/>
        </w:rPr>
        <w:t>责任</w:t>
      </w:r>
      <w:r>
        <w:rPr>
          <w:rFonts w:hint="eastAsia" w:hAnsi="Calibri" w:eastAsia="仿宋_GB2312" w:cs="Times New Roman"/>
          <w:b w:val="0"/>
          <w:bCs w:val="0"/>
          <w:color w:val="auto"/>
          <w:kern w:val="2"/>
          <w:sz w:val="32"/>
          <w:szCs w:val="32"/>
          <w:lang w:val="en-US" w:eastAsia="zh-CN" w:bidi="ar-SA"/>
        </w:rPr>
        <w:t xml:space="preserve">单位：市工业和信息化局、市财政局）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hAnsi="Calibri" w:eastAsia="仿宋_GB2312" w:cs="Times New Roman"/>
          <w:b w:val="0"/>
          <w:bCs w:val="0"/>
          <w:color w:val="auto"/>
          <w:kern w:val="2"/>
          <w:sz w:val="32"/>
          <w:szCs w:val="32"/>
          <w:lang w:val="en-US" w:eastAsia="zh-CN" w:bidi="ar-SA"/>
        </w:rPr>
      </w:pPr>
      <w:r>
        <w:rPr>
          <w:rFonts w:hint="eastAsia" w:ascii="方正楷体简体" w:hAnsi="方正楷体简体" w:eastAsia="方正楷体简体" w:cs="方正楷体简体"/>
          <w:color w:val="auto"/>
          <w:sz w:val="32"/>
          <w:szCs w:val="32"/>
          <w:lang w:val="en-US" w:eastAsia="zh-CN"/>
        </w:rPr>
        <w:t>10.支持企业</w:t>
      </w:r>
      <w:r>
        <w:rPr>
          <w:rFonts w:hint="eastAsia" w:ascii="方正楷体简体" w:hAnsi="方正楷体简体" w:eastAsia="方正楷体简体" w:cs="方正楷体简体"/>
          <w:color w:val="auto"/>
          <w:sz w:val="32"/>
          <w:szCs w:val="32"/>
        </w:rPr>
        <w:t>品牌</w:t>
      </w:r>
      <w:r>
        <w:rPr>
          <w:rFonts w:hint="eastAsia" w:ascii="方正楷体简体" w:hAnsi="方正楷体简体" w:eastAsia="方正楷体简体" w:cs="方正楷体简体"/>
          <w:color w:val="auto"/>
          <w:sz w:val="32"/>
          <w:szCs w:val="32"/>
          <w:lang w:eastAsia="zh-CN"/>
        </w:rPr>
        <w:t>创建。</w:t>
      </w:r>
      <w:r>
        <w:rPr>
          <w:rFonts w:hint="eastAsia" w:hAnsi="Calibri" w:eastAsia="仿宋_GB2312" w:cs="Times New Roman"/>
          <w:b w:val="0"/>
          <w:bCs w:val="0"/>
          <w:color w:val="auto"/>
          <w:kern w:val="2"/>
          <w:sz w:val="32"/>
          <w:szCs w:val="32"/>
          <w:lang w:val="en-US" w:eastAsia="zh-CN" w:bidi="ar-SA"/>
        </w:rPr>
        <w:t>对首次获得国家级质量标杆、省级质量标杆的企业</w:t>
      </w:r>
      <w:r>
        <w:rPr>
          <w:rFonts w:hint="eastAsia" w:eastAsia="仿宋_GB2312" w:cs="Times New Roman"/>
          <w:b w:val="0"/>
          <w:bCs w:val="0"/>
          <w:color w:val="auto"/>
          <w:kern w:val="2"/>
          <w:sz w:val="32"/>
          <w:szCs w:val="32"/>
          <w:lang w:val="en-US" w:eastAsia="zh-CN" w:bidi="ar-SA"/>
        </w:rPr>
        <w:t>，</w:t>
      </w:r>
      <w:r>
        <w:rPr>
          <w:rFonts w:hint="eastAsia" w:hAnsi="Calibri" w:eastAsia="仿宋_GB2312" w:cs="Times New Roman"/>
          <w:b w:val="0"/>
          <w:bCs w:val="0"/>
          <w:color w:val="auto"/>
          <w:kern w:val="2"/>
          <w:sz w:val="32"/>
          <w:szCs w:val="32"/>
          <w:lang w:val="en-US" w:eastAsia="zh-CN" w:bidi="ar-SA"/>
        </w:rPr>
        <w:t>分别</w:t>
      </w:r>
      <w:r>
        <w:rPr>
          <w:rFonts w:hint="eastAsia" w:eastAsia="仿宋_GB2312" w:cs="Times New Roman"/>
          <w:b w:val="0"/>
          <w:bCs w:val="0"/>
          <w:color w:val="auto"/>
          <w:kern w:val="2"/>
          <w:sz w:val="32"/>
          <w:szCs w:val="32"/>
          <w:lang w:val="en-US" w:eastAsia="zh-CN" w:bidi="ar-SA"/>
        </w:rPr>
        <w:t>给予最高</w:t>
      </w:r>
      <w:r>
        <w:rPr>
          <w:rFonts w:hint="eastAsia" w:ascii="仿宋_GB2312" w:hAnsi="仿宋_GB2312" w:eastAsia="仿宋_GB2312" w:cs="仿宋_GB2312"/>
          <w:bCs w:val="0"/>
          <w:color w:val="auto"/>
          <w:kern w:val="2"/>
          <w:sz w:val="32"/>
          <w:szCs w:val="32"/>
          <w:lang w:val="en-US" w:eastAsia="zh-CN"/>
        </w:rPr>
        <w:t>100</w:t>
      </w:r>
      <w:r>
        <w:rPr>
          <w:rFonts w:hint="eastAsia" w:hAnsi="Calibri" w:eastAsia="仿宋_GB2312" w:cs="Times New Roman"/>
          <w:b w:val="0"/>
          <w:bCs w:val="0"/>
          <w:color w:val="auto"/>
          <w:kern w:val="2"/>
          <w:sz w:val="32"/>
          <w:szCs w:val="32"/>
          <w:lang w:val="en-US" w:eastAsia="zh-CN" w:bidi="ar-SA"/>
        </w:rPr>
        <w:t>万元、</w:t>
      </w:r>
      <w:r>
        <w:rPr>
          <w:rFonts w:hint="eastAsia" w:ascii="仿宋_GB2312" w:hAnsi="仿宋_GB2312" w:eastAsia="仿宋_GB2312" w:cs="仿宋_GB2312"/>
          <w:bCs w:val="0"/>
          <w:color w:val="auto"/>
          <w:kern w:val="2"/>
          <w:sz w:val="32"/>
          <w:szCs w:val="32"/>
          <w:lang w:val="en-US" w:eastAsia="zh-CN"/>
        </w:rPr>
        <w:t>50</w:t>
      </w:r>
      <w:r>
        <w:rPr>
          <w:rFonts w:hint="eastAsia" w:hAnsi="Calibri" w:eastAsia="仿宋_GB2312" w:cs="Times New Roman"/>
          <w:b w:val="0"/>
          <w:bCs w:val="0"/>
          <w:color w:val="auto"/>
          <w:kern w:val="2"/>
          <w:sz w:val="32"/>
          <w:szCs w:val="32"/>
          <w:lang w:val="en-US" w:eastAsia="zh-CN" w:bidi="ar-SA"/>
        </w:rPr>
        <w:t>万元一次性奖励。企业产品（品牌）被工业和信息化部确定为全国食品工业“三品”典型成果的，每一种产品（品牌）</w:t>
      </w:r>
      <w:r>
        <w:rPr>
          <w:rFonts w:hint="eastAsia" w:eastAsia="仿宋_GB2312" w:cs="Times New Roman"/>
          <w:b w:val="0"/>
          <w:bCs w:val="0"/>
          <w:color w:val="auto"/>
          <w:kern w:val="2"/>
          <w:sz w:val="32"/>
          <w:szCs w:val="32"/>
          <w:lang w:val="en-US" w:eastAsia="zh-CN" w:bidi="ar-SA"/>
        </w:rPr>
        <w:t>给予最高</w:t>
      </w:r>
      <w:r>
        <w:rPr>
          <w:rFonts w:hint="eastAsia" w:ascii="仿宋_GB2312" w:hAnsi="仿宋_GB2312" w:eastAsia="仿宋_GB2312" w:cs="仿宋_GB2312"/>
          <w:bCs w:val="0"/>
          <w:color w:val="auto"/>
          <w:kern w:val="2"/>
          <w:sz w:val="32"/>
          <w:szCs w:val="32"/>
          <w:lang w:val="en-US" w:eastAsia="zh-CN"/>
        </w:rPr>
        <w:t>10</w:t>
      </w:r>
      <w:r>
        <w:rPr>
          <w:rFonts w:hint="eastAsia" w:hAnsi="Calibri" w:eastAsia="仿宋_GB2312" w:cs="Times New Roman"/>
          <w:b w:val="0"/>
          <w:bCs w:val="0"/>
          <w:color w:val="auto"/>
          <w:kern w:val="2"/>
          <w:sz w:val="32"/>
          <w:szCs w:val="32"/>
          <w:lang w:val="en-US" w:eastAsia="zh-CN" w:bidi="ar-SA"/>
        </w:rPr>
        <w:t>万元一次性奖励；对企业产品（品牌）入选《山东省特色优质食品目录》的，每一种产品</w:t>
      </w:r>
      <w:r>
        <w:rPr>
          <w:rFonts w:hint="eastAsia" w:eastAsia="仿宋_GB2312" w:cs="Times New Roman"/>
          <w:b w:val="0"/>
          <w:bCs w:val="0"/>
          <w:color w:val="auto"/>
          <w:kern w:val="2"/>
          <w:sz w:val="32"/>
          <w:szCs w:val="32"/>
          <w:lang w:val="en-US" w:eastAsia="zh-CN" w:bidi="ar-SA"/>
        </w:rPr>
        <w:t>给予最高</w:t>
      </w:r>
      <w:r>
        <w:rPr>
          <w:rFonts w:hint="eastAsia" w:ascii="仿宋_GB2312" w:hAnsi="仿宋_GB2312" w:eastAsia="仿宋_GB2312" w:cs="仿宋_GB2312"/>
          <w:bCs w:val="0"/>
          <w:color w:val="auto"/>
          <w:kern w:val="2"/>
          <w:sz w:val="32"/>
          <w:szCs w:val="32"/>
          <w:lang w:val="en-US" w:eastAsia="zh-CN"/>
        </w:rPr>
        <w:t>5</w:t>
      </w:r>
      <w:r>
        <w:rPr>
          <w:rFonts w:hint="eastAsia" w:hAnsi="Calibri" w:eastAsia="仿宋_GB2312" w:cs="Times New Roman"/>
          <w:b w:val="0"/>
          <w:bCs w:val="0"/>
          <w:color w:val="auto"/>
          <w:kern w:val="2"/>
          <w:sz w:val="32"/>
          <w:szCs w:val="32"/>
          <w:lang w:val="en-US" w:eastAsia="zh-CN" w:bidi="ar-SA"/>
        </w:rPr>
        <w:t>万元一次性奖励。（</w:t>
      </w:r>
      <w:r>
        <w:rPr>
          <w:rFonts w:hint="eastAsia" w:eastAsia="仿宋_GB2312" w:cs="Times New Roman"/>
          <w:b w:val="0"/>
          <w:bCs w:val="0"/>
          <w:color w:val="auto"/>
          <w:kern w:val="2"/>
          <w:sz w:val="32"/>
          <w:szCs w:val="32"/>
          <w:lang w:val="en-US" w:eastAsia="zh-CN" w:bidi="ar-SA"/>
        </w:rPr>
        <w:t>责任</w:t>
      </w:r>
      <w:r>
        <w:rPr>
          <w:rFonts w:hint="eastAsia" w:hAnsi="Calibri" w:eastAsia="仿宋_GB2312" w:cs="Times New Roman"/>
          <w:b w:val="0"/>
          <w:bCs w:val="0"/>
          <w:color w:val="auto"/>
          <w:kern w:val="2"/>
          <w:sz w:val="32"/>
          <w:szCs w:val="32"/>
          <w:lang w:val="en-US" w:eastAsia="zh-CN" w:bidi="ar-SA"/>
        </w:rPr>
        <w:t>单位：市工业和信息化局、市财政局）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bCs w:val="0"/>
          <w:color w:val="auto"/>
          <w:kern w:val="2"/>
          <w:sz w:val="32"/>
          <w:szCs w:val="32"/>
          <w:lang w:val="en-US" w:eastAsia="zh-CN"/>
        </w:rPr>
      </w:pPr>
      <w:r>
        <w:rPr>
          <w:rFonts w:hint="eastAsia" w:ascii="方正楷体简体" w:hAnsi="方正楷体简体" w:eastAsia="方正楷体简体" w:cs="方正楷体简体"/>
          <w:color w:val="auto"/>
          <w:sz w:val="32"/>
          <w:szCs w:val="32"/>
          <w:lang w:val="en-US" w:eastAsia="zh-CN"/>
        </w:rPr>
        <w:t>11.支持工业设计。</w:t>
      </w:r>
      <w:r>
        <w:rPr>
          <w:rFonts w:hint="eastAsia" w:ascii="仿宋_GB2312" w:hAnsi="仿宋_GB2312" w:eastAsia="仿宋_GB2312" w:cs="仿宋_GB2312"/>
          <w:bCs w:val="0"/>
          <w:color w:val="auto"/>
          <w:kern w:val="2"/>
          <w:sz w:val="32"/>
          <w:szCs w:val="32"/>
          <w:lang w:val="en-US" w:eastAsia="zh-CN"/>
        </w:rPr>
        <w:t>对新认定的国家级、省级工业设计研究院，分别给予最高1000万元、500万元一次性奖励。对获得“中国优秀工业设计金奖”的，给予最高100万元一次性奖励；对获得山东省“省长杯”工业设计大赛金、银、铜奖的，分别给予最高30万元、20万元、10万元一次性奖励；对获得聊城市工业设计大赛金、银、铜奖的，分别给予最高</w:t>
      </w:r>
      <w:r>
        <w:rPr>
          <w:rFonts w:hint="default" w:ascii="仿宋_GB2312" w:hAnsi="仿宋_GB2312" w:eastAsia="仿宋_GB2312" w:cs="仿宋_GB2312"/>
          <w:bCs w:val="0"/>
          <w:color w:val="auto"/>
          <w:kern w:val="2"/>
          <w:sz w:val="32"/>
          <w:szCs w:val="32"/>
          <w:lang w:val="en" w:eastAsia="zh-CN"/>
        </w:rPr>
        <w:t>2</w:t>
      </w:r>
      <w:r>
        <w:rPr>
          <w:rFonts w:hint="eastAsia" w:ascii="仿宋_GB2312" w:hAnsi="仿宋_GB2312" w:eastAsia="仿宋_GB2312" w:cs="仿宋_GB2312"/>
          <w:bCs w:val="0"/>
          <w:color w:val="auto"/>
          <w:kern w:val="2"/>
          <w:sz w:val="32"/>
          <w:szCs w:val="32"/>
          <w:lang w:val="en-US" w:eastAsia="zh-CN"/>
        </w:rPr>
        <w:t>0万元、</w:t>
      </w:r>
      <w:r>
        <w:rPr>
          <w:rFonts w:hint="default" w:ascii="仿宋_GB2312" w:hAnsi="仿宋_GB2312" w:eastAsia="仿宋_GB2312" w:cs="仿宋_GB2312"/>
          <w:bCs w:val="0"/>
          <w:color w:val="auto"/>
          <w:kern w:val="2"/>
          <w:sz w:val="32"/>
          <w:szCs w:val="32"/>
          <w:lang w:val="en" w:eastAsia="zh-CN"/>
        </w:rPr>
        <w:t>10</w:t>
      </w:r>
      <w:r>
        <w:rPr>
          <w:rFonts w:hint="eastAsia" w:ascii="仿宋_GB2312" w:hAnsi="仿宋_GB2312" w:eastAsia="仿宋_GB2312" w:cs="仿宋_GB2312"/>
          <w:bCs w:val="0"/>
          <w:color w:val="auto"/>
          <w:kern w:val="2"/>
          <w:sz w:val="32"/>
          <w:szCs w:val="32"/>
          <w:lang w:val="en-US" w:eastAsia="zh-CN"/>
        </w:rPr>
        <w:t>万元、</w:t>
      </w:r>
      <w:r>
        <w:rPr>
          <w:rFonts w:hint="default" w:ascii="仿宋_GB2312" w:hAnsi="仿宋_GB2312" w:eastAsia="仿宋_GB2312" w:cs="仿宋_GB2312"/>
          <w:bCs w:val="0"/>
          <w:color w:val="auto"/>
          <w:kern w:val="2"/>
          <w:sz w:val="32"/>
          <w:szCs w:val="32"/>
          <w:lang w:val="en" w:eastAsia="zh-CN"/>
        </w:rPr>
        <w:t>5</w:t>
      </w:r>
      <w:r>
        <w:rPr>
          <w:rFonts w:hint="eastAsia" w:ascii="仿宋_GB2312" w:hAnsi="仿宋_GB2312" w:eastAsia="仿宋_GB2312" w:cs="仿宋_GB2312"/>
          <w:bCs w:val="0"/>
          <w:color w:val="auto"/>
          <w:kern w:val="2"/>
          <w:sz w:val="32"/>
          <w:szCs w:val="32"/>
          <w:lang w:val="en-US" w:eastAsia="zh-CN"/>
        </w:rPr>
        <w:t>万元一次性奖励。（责任单位：市工业和信息化局、市财政局）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仿宋_GB2312" w:hAnsi="仿宋_GB2312" w:eastAsia="仿宋_GB2312" w:cs="仿宋_GB2312"/>
          <w:bCs w:val="0"/>
          <w:color w:val="auto"/>
          <w:kern w:val="2"/>
          <w:sz w:val="32"/>
          <w:szCs w:val="32"/>
          <w:lang w:val="en-US" w:eastAsia="zh-CN"/>
        </w:rPr>
      </w:pPr>
      <w:r>
        <w:rPr>
          <w:rFonts w:hint="eastAsia" w:ascii="楷体_GB2312" w:hAnsi="楷体_GB2312" w:eastAsia="楷体_GB2312" w:cs="楷体_GB2312"/>
          <w:bCs w:val="0"/>
          <w:color w:val="auto"/>
          <w:kern w:val="2"/>
          <w:sz w:val="32"/>
          <w:szCs w:val="32"/>
          <w:lang w:val="en-US" w:eastAsia="zh-CN"/>
        </w:rPr>
        <w:t>12.支持服务型制造。</w:t>
      </w:r>
      <w:r>
        <w:rPr>
          <w:rFonts w:hint="eastAsia" w:ascii="仿宋_GB2312" w:hAnsi="仿宋_GB2312" w:eastAsia="仿宋_GB2312" w:cs="仿宋_GB2312"/>
          <w:bCs w:val="0"/>
          <w:color w:val="auto"/>
          <w:kern w:val="2"/>
          <w:sz w:val="32"/>
          <w:szCs w:val="32"/>
          <w:lang w:val="en-US" w:eastAsia="zh-CN"/>
        </w:rPr>
        <w:t>对新列入国家级、省级服务型制造示范企业（项目、平台）的，分别给予最高100万元、50万元一次性奖励。（责任单位：市工业和信息化局、市财政局）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三、推进企业集聚集约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Cs w:val="0"/>
          <w:color w:val="auto"/>
          <w:kern w:val="2"/>
          <w:sz w:val="32"/>
          <w:szCs w:val="32"/>
          <w:lang w:val="en-US" w:eastAsia="zh-CN"/>
        </w:rPr>
      </w:pPr>
      <w:r>
        <w:rPr>
          <w:rFonts w:hint="eastAsia" w:ascii="方正楷体简体" w:hAnsi="方正楷体简体" w:eastAsia="方正楷体简体" w:cs="方正楷体简体"/>
          <w:color w:val="auto"/>
          <w:sz w:val="32"/>
          <w:szCs w:val="32"/>
          <w:lang w:val="en-US" w:eastAsia="zh-CN"/>
        </w:rPr>
        <w:t>13.支持打造产业集群（基地）。</w:t>
      </w:r>
      <w:r>
        <w:rPr>
          <w:rFonts w:hint="eastAsia" w:hAnsi="Calibri" w:eastAsia="仿宋_GB2312" w:cs="Times New Roman"/>
          <w:b w:val="0"/>
          <w:bCs w:val="0"/>
          <w:color w:val="auto"/>
          <w:kern w:val="2"/>
          <w:sz w:val="32"/>
          <w:szCs w:val="32"/>
          <w:lang w:val="en-US" w:eastAsia="zh-CN" w:bidi="ar-SA"/>
        </w:rPr>
        <w:t>对新评选认定的国家级、省级“特色产业集群”，</w:t>
      </w:r>
      <w:r>
        <w:rPr>
          <w:rFonts w:hint="eastAsia" w:eastAsia="仿宋_GB2312" w:cs="Times New Roman"/>
          <w:b w:val="0"/>
          <w:bCs w:val="0"/>
          <w:color w:val="auto"/>
          <w:kern w:val="2"/>
          <w:sz w:val="32"/>
          <w:szCs w:val="32"/>
          <w:lang w:val="en-US" w:eastAsia="zh-CN" w:bidi="ar-SA"/>
        </w:rPr>
        <w:t>分别</w:t>
      </w:r>
      <w:r>
        <w:rPr>
          <w:rFonts w:hint="eastAsia" w:hAnsi="Calibri" w:eastAsia="仿宋_GB2312" w:cs="Times New Roman"/>
          <w:b w:val="0"/>
          <w:bCs w:val="0"/>
          <w:color w:val="auto"/>
          <w:kern w:val="2"/>
          <w:sz w:val="32"/>
          <w:szCs w:val="32"/>
          <w:lang w:val="en-US" w:eastAsia="zh-CN" w:bidi="ar-SA"/>
        </w:rPr>
        <w:t>给予最高</w:t>
      </w:r>
      <w:r>
        <w:rPr>
          <w:rFonts w:hint="eastAsia" w:ascii="仿宋_GB2312" w:hAnsi="仿宋_GB2312" w:eastAsia="仿宋_GB2312" w:cs="仿宋_GB2312"/>
          <w:bCs w:val="0"/>
          <w:color w:val="auto"/>
          <w:kern w:val="2"/>
          <w:sz w:val="32"/>
          <w:szCs w:val="32"/>
          <w:lang w:val="en-US" w:eastAsia="zh-CN"/>
        </w:rPr>
        <w:t>100</w:t>
      </w:r>
      <w:r>
        <w:rPr>
          <w:rFonts w:hint="eastAsia" w:hAnsi="Calibri" w:eastAsia="仿宋_GB2312" w:cs="Times New Roman"/>
          <w:b w:val="0"/>
          <w:bCs w:val="0"/>
          <w:color w:val="auto"/>
          <w:kern w:val="2"/>
          <w:sz w:val="32"/>
          <w:szCs w:val="32"/>
          <w:lang w:val="en-US" w:eastAsia="zh-CN" w:bidi="ar-SA"/>
        </w:rPr>
        <w:t>万元、</w:t>
      </w:r>
      <w:r>
        <w:rPr>
          <w:rFonts w:hint="eastAsia" w:ascii="仿宋_GB2312" w:hAnsi="仿宋_GB2312" w:eastAsia="仿宋_GB2312" w:cs="仿宋_GB2312"/>
          <w:bCs w:val="0"/>
          <w:color w:val="auto"/>
          <w:kern w:val="2"/>
          <w:sz w:val="32"/>
          <w:szCs w:val="32"/>
          <w:lang w:val="en-US" w:eastAsia="zh-CN"/>
        </w:rPr>
        <w:t>50</w:t>
      </w:r>
      <w:r>
        <w:rPr>
          <w:rFonts w:hint="eastAsia" w:hAnsi="Calibri" w:eastAsia="仿宋_GB2312" w:cs="Times New Roman"/>
          <w:b w:val="0"/>
          <w:bCs w:val="0"/>
          <w:color w:val="auto"/>
          <w:kern w:val="2"/>
          <w:sz w:val="32"/>
          <w:szCs w:val="32"/>
          <w:lang w:val="en-US" w:eastAsia="zh-CN" w:bidi="ar-SA"/>
        </w:rPr>
        <w:t>万元一次性奖励；对新评选认定的省特色食品产业集群、强县、强镇、基地的，分别给予最高</w:t>
      </w:r>
      <w:r>
        <w:rPr>
          <w:rFonts w:hint="eastAsia" w:ascii="仿宋_GB2312" w:hAnsi="仿宋_GB2312" w:eastAsia="仿宋_GB2312" w:cs="仿宋_GB2312"/>
          <w:bCs w:val="0"/>
          <w:color w:val="auto"/>
          <w:kern w:val="2"/>
          <w:sz w:val="32"/>
          <w:szCs w:val="32"/>
          <w:lang w:val="en-US" w:eastAsia="zh-CN"/>
        </w:rPr>
        <w:t>50</w:t>
      </w:r>
      <w:r>
        <w:rPr>
          <w:rFonts w:hint="eastAsia" w:ascii="仿宋_GB2312" w:hAnsi="仿宋_GB2312" w:eastAsia="仿宋_GB2312" w:cs="仿宋_GB2312"/>
          <w:b w:val="0"/>
          <w:bCs w:val="0"/>
          <w:color w:val="auto"/>
          <w:kern w:val="2"/>
          <w:sz w:val="32"/>
          <w:szCs w:val="32"/>
          <w:lang w:val="en-US" w:eastAsia="zh-CN" w:bidi="ar-SA"/>
        </w:rPr>
        <w:t>万元、3</w:t>
      </w:r>
      <w:r>
        <w:rPr>
          <w:rFonts w:hint="eastAsia" w:ascii="仿宋_GB2312" w:hAnsi="仿宋_GB2312" w:eastAsia="仿宋_GB2312" w:cs="仿宋_GB2312"/>
          <w:bCs w:val="0"/>
          <w:color w:val="auto"/>
          <w:kern w:val="2"/>
          <w:sz w:val="32"/>
          <w:szCs w:val="32"/>
          <w:lang w:val="en-US" w:eastAsia="zh-CN"/>
        </w:rPr>
        <w:t>0</w:t>
      </w:r>
      <w:r>
        <w:rPr>
          <w:rFonts w:hint="eastAsia" w:ascii="仿宋_GB2312" w:hAnsi="仿宋_GB2312" w:eastAsia="仿宋_GB2312" w:cs="仿宋_GB2312"/>
          <w:b w:val="0"/>
          <w:bCs w:val="0"/>
          <w:color w:val="auto"/>
          <w:kern w:val="2"/>
          <w:sz w:val="32"/>
          <w:szCs w:val="32"/>
          <w:lang w:val="en-US" w:eastAsia="zh-CN" w:bidi="ar-SA"/>
        </w:rPr>
        <w:t>万元、2</w:t>
      </w:r>
      <w:r>
        <w:rPr>
          <w:rFonts w:hint="eastAsia" w:ascii="仿宋_GB2312" w:hAnsi="仿宋_GB2312" w:eastAsia="仿宋_GB2312" w:cs="仿宋_GB2312"/>
          <w:bCs w:val="0"/>
          <w:color w:val="auto"/>
          <w:kern w:val="2"/>
          <w:sz w:val="32"/>
          <w:szCs w:val="32"/>
          <w:lang w:val="en-US" w:eastAsia="zh-CN"/>
        </w:rPr>
        <w:t>0万</w:t>
      </w:r>
      <w:r>
        <w:rPr>
          <w:rFonts w:hint="eastAsia" w:ascii="仿宋_GB2312" w:hAnsi="仿宋_GB2312" w:eastAsia="仿宋_GB2312" w:cs="仿宋_GB2312"/>
          <w:b w:val="0"/>
          <w:bCs w:val="0"/>
          <w:color w:val="auto"/>
          <w:kern w:val="2"/>
          <w:sz w:val="32"/>
          <w:szCs w:val="32"/>
          <w:lang w:val="en-US" w:eastAsia="zh-CN" w:bidi="ar-SA"/>
        </w:rPr>
        <w:t>元、1</w:t>
      </w:r>
      <w:r>
        <w:rPr>
          <w:rFonts w:hint="eastAsia" w:ascii="仿宋_GB2312" w:hAnsi="仿宋_GB2312" w:eastAsia="仿宋_GB2312" w:cs="仿宋_GB2312"/>
          <w:bCs w:val="0"/>
          <w:color w:val="auto"/>
          <w:kern w:val="2"/>
          <w:sz w:val="32"/>
          <w:szCs w:val="32"/>
          <w:lang w:val="en-US" w:eastAsia="zh-CN"/>
        </w:rPr>
        <w:t>0</w:t>
      </w:r>
      <w:r>
        <w:rPr>
          <w:rFonts w:hint="eastAsia" w:hAnsi="Calibri" w:eastAsia="仿宋_GB2312" w:cs="Times New Roman"/>
          <w:b w:val="0"/>
          <w:bCs w:val="0"/>
          <w:color w:val="auto"/>
          <w:kern w:val="2"/>
          <w:sz w:val="32"/>
          <w:szCs w:val="32"/>
          <w:lang w:val="en-US" w:eastAsia="zh-CN" w:bidi="ar-SA"/>
        </w:rPr>
        <w:t>万元</w:t>
      </w:r>
      <w:r>
        <w:rPr>
          <w:rFonts w:hint="eastAsia" w:eastAsia="仿宋_GB2312" w:cs="Times New Roman"/>
          <w:b w:val="0"/>
          <w:bCs w:val="0"/>
          <w:color w:val="auto"/>
          <w:kern w:val="2"/>
          <w:sz w:val="32"/>
          <w:szCs w:val="32"/>
          <w:lang w:val="en-US" w:eastAsia="zh-CN" w:bidi="ar-SA"/>
        </w:rPr>
        <w:t>一次性</w:t>
      </w:r>
      <w:r>
        <w:rPr>
          <w:rFonts w:hint="eastAsia" w:hAnsi="Calibri" w:eastAsia="仿宋_GB2312" w:cs="Times New Roman"/>
          <w:b w:val="0"/>
          <w:bCs w:val="0"/>
          <w:color w:val="auto"/>
          <w:kern w:val="2"/>
          <w:sz w:val="32"/>
          <w:szCs w:val="32"/>
          <w:lang w:val="en-US" w:eastAsia="zh-CN" w:bidi="ar-SA"/>
        </w:rPr>
        <w:t>奖励。</w:t>
      </w:r>
      <w:r>
        <w:rPr>
          <w:rFonts w:hint="eastAsia" w:ascii="仿宋_GB2312" w:hAnsi="仿宋_GB2312" w:eastAsia="仿宋_GB2312" w:cs="仿宋_GB2312"/>
          <w:bCs w:val="0"/>
          <w:color w:val="auto"/>
          <w:kern w:val="2"/>
          <w:sz w:val="32"/>
          <w:szCs w:val="32"/>
          <w:lang w:val="en-US" w:eastAsia="zh-CN"/>
        </w:rPr>
        <w:t>（责任单位：市工业和信息化局、市财政局）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hAnsi="Calibri" w:eastAsia="仿宋_GB2312" w:cs="Times New Roman"/>
          <w:b w:val="0"/>
          <w:bCs w:val="0"/>
          <w:color w:val="auto"/>
          <w:kern w:val="2"/>
          <w:sz w:val="32"/>
          <w:szCs w:val="32"/>
          <w:lang w:val="en-US" w:eastAsia="zh-CN" w:bidi="ar-SA"/>
        </w:rPr>
      </w:pPr>
      <w:r>
        <w:rPr>
          <w:rFonts w:hint="eastAsia" w:ascii="方正楷体简体" w:hAnsi="方正楷体简体" w:eastAsia="方正楷体简体" w:cs="方正楷体简体"/>
          <w:b w:val="0"/>
          <w:bCs w:val="0"/>
          <w:color w:val="auto"/>
          <w:kern w:val="2"/>
          <w:sz w:val="32"/>
          <w:szCs w:val="32"/>
          <w:lang w:val="en-US" w:eastAsia="zh-CN" w:bidi="ar-SA"/>
        </w:rPr>
        <w:t>14.支持服务平台建设。</w:t>
      </w:r>
      <w:r>
        <w:rPr>
          <w:rFonts w:hint="eastAsia" w:hAnsi="Calibri" w:eastAsia="仿宋_GB2312" w:cs="Times New Roman"/>
          <w:b w:val="0"/>
          <w:bCs w:val="0"/>
          <w:color w:val="auto"/>
          <w:kern w:val="2"/>
          <w:sz w:val="32"/>
          <w:szCs w:val="32"/>
          <w:lang w:val="en-US" w:eastAsia="zh-CN" w:bidi="ar-SA"/>
        </w:rPr>
        <w:t>对新创国家级、省级“中小企业公共服务示范平台”，分别给予最高</w:t>
      </w:r>
      <w:r>
        <w:rPr>
          <w:rFonts w:hint="eastAsia" w:ascii="仿宋_GB2312" w:hAnsi="仿宋_GB2312" w:eastAsia="仿宋_GB2312" w:cs="仿宋_GB2312"/>
          <w:bCs w:val="0"/>
          <w:color w:val="auto"/>
          <w:kern w:val="2"/>
          <w:sz w:val="32"/>
          <w:szCs w:val="32"/>
          <w:lang w:val="en-US" w:eastAsia="zh-CN"/>
        </w:rPr>
        <w:t>50</w:t>
      </w:r>
      <w:r>
        <w:rPr>
          <w:rFonts w:hint="eastAsia" w:hAnsi="Calibri" w:eastAsia="仿宋_GB2312" w:cs="Times New Roman"/>
          <w:b w:val="0"/>
          <w:bCs w:val="0"/>
          <w:color w:val="auto"/>
          <w:kern w:val="2"/>
          <w:sz w:val="32"/>
          <w:szCs w:val="32"/>
          <w:lang w:val="en-US" w:eastAsia="zh-CN" w:bidi="ar-SA"/>
        </w:rPr>
        <w:t>万元、</w:t>
      </w:r>
      <w:r>
        <w:rPr>
          <w:rFonts w:hint="eastAsia" w:ascii="仿宋_GB2312" w:hAnsi="仿宋_GB2312" w:eastAsia="仿宋_GB2312" w:cs="仿宋_GB2312"/>
          <w:bCs w:val="0"/>
          <w:color w:val="auto"/>
          <w:kern w:val="2"/>
          <w:sz w:val="32"/>
          <w:szCs w:val="32"/>
          <w:lang w:val="en-US" w:eastAsia="zh-CN"/>
        </w:rPr>
        <w:t>30</w:t>
      </w:r>
      <w:r>
        <w:rPr>
          <w:rFonts w:hint="eastAsia" w:hAnsi="Calibri" w:eastAsia="仿宋_GB2312" w:cs="Times New Roman"/>
          <w:b w:val="0"/>
          <w:bCs w:val="0"/>
          <w:color w:val="auto"/>
          <w:kern w:val="2"/>
          <w:sz w:val="32"/>
          <w:szCs w:val="32"/>
          <w:lang w:val="en-US" w:eastAsia="zh-CN" w:bidi="ar-SA"/>
        </w:rPr>
        <w:t>万元一次性奖励。对新创国家级、省级小型微型企业创业创新示范基地的，分别给予最高</w:t>
      </w:r>
      <w:r>
        <w:rPr>
          <w:rFonts w:hint="eastAsia" w:ascii="仿宋_GB2312" w:hAnsi="仿宋_GB2312" w:eastAsia="仿宋_GB2312" w:cs="仿宋_GB2312"/>
          <w:bCs w:val="0"/>
          <w:color w:val="auto"/>
          <w:kern w:val="2"/>
          <w:sz w:val="32"/>
          <w:szCs w:val="32"/>
          <w:lang w:val="en-US" w:eastAsia="zh-CN"/>
        </w:rPr>
        <w:t>50</w:t>
      </w:r>
      <w:r>
        <w:rPr>
          <w:rFonts w:hint="eastAsia" w:hAnsi="Calibri" w:eastAsia="仿宋_GB2312" w:cs="Times New Roman"/>
          <w:b w:val="0"/>
          <w:bCs w:val="0"/>
          <w:color w:val="auto"/>
          <w:kern w:val="2"/>
          <w:sz w:val="32"/>
          <w:szCs w:val="32"/>
          <w:lang w:val="en-US" w:eastAsia="zh-CN" w:bidi="ar-SA"/>
        </w:rPr>
        <w:t>万元、</w:t>
      </w:r>
      <w:r>
        <w:rPr>
          <w:rFonts w:hint="eastAsia" w:ascii="仿宋_GB2312" w:hAnsi="仿宋_GB2312" w:eastAsia="仿宋_GB2312" w:cs="仿宋_GB2312"/>
          <w:bCs w:val="0"/>
          <w:color w:val="auto"/>
          <w:kern w:val="2"/>
          <w:sz w:val="32"/>
          <w:szCs w:val="32"/>
          <w:lang w:val="en-US" w:eastAsia="zh-CN"/>
        </w:rPr>
        <w:t>30</w:t>
      </w:r>
      <w:r>
        <w:rPr>
          <w:rFonts w:hint="eastAsia" w:hAnsi="Calibri" w:eastAsia="仿宋_GB2312" w:cs="Times New Roman"/>
          <w:b w:val="0"/>
          <w:bCs w:val="0"/>
          <w:color w:val="auto"/>
          <w:kern w:val="2"/>
          <w:sz w:val="32"/>
          <w:szCs w:val="32"/>
          <w:lang w:val="en-US" w:eastAsia="zh-CN" w:bidi="ar-SA"/>
        </w:rPr>
        <w:t>万元</w:t>
      </w:r>
      <w:r>
        <w:rPr>
          <w:rFonts w:hint="eastAsia" w:eastAsia="仿宋_GB2312" w:cs="Times New Roman"/>
          <w:b w:val="0"/>
          <w:bCs w:val="0"/>
          <w:color w:val="auto"/>
          <w:kern w:val="2"/>
          <w:sz w:val="32"/>
          <w:szCs w:val="32"/>
          <w:lang w:val="en-US" w:eastAsia="zh-CN" w:bidi="ar-SA"/>
        </w:rPr>
        <w:t>一次性</w:t>
      </w:r>
      <w:r>
        <w:rPr>
          <w:rFonts w:hint="eastAsia" w:hAnsi="Calibri" w:eastAsia="仿宋_GB2312" w:cs="Times New Roman"/>
          <w:b w:val="0"/>
          <w:bCs w:val="0"/>
          <w:color w:val="auto"/>
          <w:kern w:val="2"/>
          <w:sz w:val="32"/>
          <w:szCs w:val="32"/>
          <w:lang w:val="en-US" w:eastAsia="zh-CN" w:bidi="ar-SA"/>
        </w:rPr>
        <w:t>奖励。（</w:t>
      </w:r>
      <w:r>
        <w:rPr>
          <w:rFonts w:hint="eastAsia" w:eastAsia="仿宋_GB2312" w:cs="Times New Roman"/>
          <w:b w:val="0"/>
          <w:bCs w:val="0"/>
          <w:color w:val="auto"/>
          <w:kern w:val="2"/>
          <w:sz w:val="32"/>
          <w:szCs w:val="32"/>
          <w:lang w:val="en-US" w:eastAsia="zh-CN" w:bidi="ar-SA"/>
        </w:rPr>
        <w:t>责任</w:t>
      </w:r>
      <w:r>
        <w:rPr>
          <w:rFonts w:hint="eastAsia" w:hAnsi="Calibri" w:eastAsia="仿宋_GB2312" w:cs="Times New Roman"/>
          <w:b w:val="0"/>
          <w:bCs w:val="0"/>
          <w:color w:val="auto"/>
          <w:kern w:val="2"/>
          <w:sz w:val="32"/>
          <w:szCs w:val="32"/>
          <w:lang w:val="en-US" w:eastAsia="zh-CN" w:bidi="ar-SA"/>
        </w:rPr>
        <w:t>单位：市工业和信息化局、市财政局）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四、开展企业智慧赋能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方正楷体简体" w:hAnsi="方正楷体简体" w:eastAsia="方正楷体简体" w:cs="方正楷体简体"/>
          <w:b w:val="0"/>
          <w:bCs w:val="0"/>
          <w:color w:val="auto"/>
          <w:kern w:val="2"/>
          <w:sz w:val="32"/>
          <w:szCs w:val="32"/>
          <w:lang w:val="en-US" w:eastAsia="zh-CN" w:bidi="ar-SA"/>
        </w:rPr>
        <w:t>15.支持举办数字经济展会。</w:t>
      </w:r>
      <w:r>
        <w:rPr>
          <w:rFonts w:hint="eastAsia" w:ascii="仿宋_GB2312" w:hAnsi="仿宋_GB2312" w:eastAsia="仿宋_GB2312" w:cs="仿宋_GB2312"/>
          <w:color w:val="auto"/>
          <w:sz w:val="32"/>
          <w:szCs w:val="32"/>
          <w:lang w:val="en-US" w:eastAsia="zh-CN"/>
        </w:rPr>
        <w:t>对在我市举办的展览面积达1万平方米及以上的数字经济展会、参赛人数达1000人及以上的数字经济赛事，分别给予承办单位最高30万元、50万元一次性奖励。（责任单位：市工业和信息化局、市财政局）</w:t>
      </w:r>
    </w:p>
    <w:p>
      <w:pPr>
        <w:keepNext w:val="0"/>
        <w:keepLines w:val="0"/>
        <w:pageBreakBefore w:val="0"/>
        <w:widowControl/>
        <w:suppressLineNumbers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方正楷体简体" w:hAnsi="方正楷体简体" w:eastAsia="方正楷体简体" w:cs="方正楷体简体"/>
          <w:color w:val="auto"/>
          <w:sz w:val="32"/>
          <w:szCs w:val="32"/>
          <w:lang w:val="en-US" w:eastAsia="zh-CN"/>
        </w:rPr>
        <w:t>16.支持新基建建设。</w:t>
      </w:r>
      <w:r>
        <w:rPr>
          <w:rFonts w:hint="eastAsia" w:ascii="仿宋_GB2312" w:hAnsi="仿宋_GB2312" w:eastAsia="仿宋_GB2312" w:cs="仿宋_GB2312"/>
          <w:color w:val="auto"/>
          <w:sz w:val="32"/>
          <w:szCs w:val="32"/>
          <w:lang w:val="en-US" w:eastAsia="zh-CN"/>
        </w:rPr>
        <w:t>对每年首个落地我市的工业互联网标识解析二级节点运营单位，给予最高500万元一次性奖励。鼓励基础电信运营商加快5G基站建设，按当年新增5G基站建设数量给予每个最高1000元的一次性奖励。</w:t>
      </w:r>
      <w:r>
        <w:rPr>
          <w:rFonts w:hint="eastAsia" w:ascii="仿宋_GB2312" w:hAnsi="仿宋_GB2312" w:eastAsia="仿宋_GB2312" w:cs="仿宋_GB2312"/>
          <w:color w:val="auto"/>
          <w:kern w:val="0"/>
          <w:sz w:val="32"/>
          <w:szCs w:val="32"/>
          <w:highlight w:val="none"/>
          <w:lang w:val="en-US" w:eastAsia="zh-CN" w:bidi="ar"/>
        </w:rPr>
        <w:t>（责任单位：市工业和信息化局、市财政局）</w:t>
      </w:r>
    </w:p>
    <w:p>
      <w:pPr>
        <w:keepNext w:val="0"/>
        <w:keepLines w:val="0"/>
        <w:pageBreakBefore w:val="0"/>
        <w:widowControl/>
        <w:suppressLineNumbers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方正楷体简体" w:hAnsi="方正楷体简体" w:eastAsia="方正楷体简体" w:cs="方正楷体简体"/>
          <w:color w:val="auto"/>
          <w:sz w:val="32"/>
          <w:szCs w:val="32"/>
          <w:lang w:val="en-US" w:eastAsia="zh-CN"/>
        </w:rPr>
        <w:t>17.支持5G规模化应用。</w:t>
      </w:r>
      <w:r>
        <w:rPr>
          <w:rFonts w:hint="eastAsia" w:ascii="仿宋_GB2312" w:hAnsi="仿宋_GB2312" w:eastAsia="仿宋_GB2312" w:cs="仿宋_GB2312"/>
          <w:strike w:val="0"/>
          <w:dstrike w:val="0"/>
          <w:color w:val="auto"/>
          <w:kern w:val="0"/>
          <w:sz w:val="32"/>
          <w:szCs w:val="32"/>
          <w:highlight w:val="none"/>
          <w:lang w:val="en-US" w:eastAsia="zh-CN" w:bidi="ar"/>
        </w:rPr>
        <w:t>每年遴选10个５G试点</w:t>
      </w:r>
      <w:r>
        <w:rPr>
          <w:rFonts w:hint="default" w:ascii="仿宋_GB2312" w:hAnsi="仿宋_GB2312" w:eastAsia="仿宋_GB2312" w:cs="仿宋_GB2312"/>
          <w:strike w:val="0"/>
          <w:dstrike w:val="0"/>
          <w:color w:val="auto"/>
          <w:kern w:val="0"/>
          <w:sz w:val="32"/>
          <w:szCs w:val="32"/>
          <w:highlight w:val="none"/>
          <w:lang w:val="en-US" w:eastAsia="zh-CN" w:bidi="ar"/>
        </w:rPr>
        <w:t>示范</w:t>
      </w:r>
      <w:r>
        <w:rPr>
          <w:rFonts w:hint="eastAsia" w:ascii="仿宋_GB2312" w:hAnsi="仿宋_GB2312" w:eastAsia="仿宋_GB2312" w:cs="仿宋_GB2312"/>
          <w:strike w:val="0"/>
          <w:dstrike w:val="0"/>
          <w:color w:val="auto"/>
          <w:kern w:val="0"/>
          <w:sz w:val="32"/>
          <w:szCs w:val="32"/>
          <w:highlight w:val="none"/>
          <w:lang w:val="en-US" w:eastAsia="zh-CN" w:bidi="ar"/>
        </w:rPr>
        <w:t>项目，每个给予最高30万元一次性奖励。</w:t>
      </w:r>
      <w:r>
        <w:rPr>
          <w:rFonts w:hint="eastAsia" w:ascii="仿宋_GB2312" w:hAnsi="仿宋_GB2312" w:eastAsia="仿宋_GB2312" w:cs="仿宋_GB2312"/>
          <w:color w:val="auto"/>
          <w:kern w:val="0"/>
          <w:sz w:val="32"/>
          <w:szCs w:val="32"/>
          <w:highlight w:val="none"/>
          <w:lang w:val="en-US" w:eastAsia="zh-CN" w:bidi="ar"/>
        </w:rPr>
        <w:t>（责任单位：市工业和信息化局、市财政局）</w:t>
      </w:r>
    </w:p>
    <w:p>
      <w:pPr>
        <w:keepNext w:val="0"/>
        <w:keepLines w:val="0"/>
        <w:pageBreakBefore w:val="0"/>
        <w:widowControl/>
        <w:kinsoku/>
        <w:wordWrap/>
        <w:overflowPunct/>
        <w:topLinePunct w:val="0"/>
        <w:autoSpaceDE/>
        <w:autoSpaceDN/>
        <w:bidi w:val="0"/>
        <w:adjustRightInd/>
        <w:snapToGrid w:val="0"/>
        <w:spacing w:before="0" w:beforeAutospacing="0" w:afterAutospacing="0" w:line="580" w:lineRule="exact"/>
        <w:ind w:left="0" w:right="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方正楷体简体" w:hAnsi="方正楷体简体" w:eastAsia="方正楷体简体" w:cs="方正楷体简体"/>
          <w:color w:val="auto"/>
          <w:sz w:val="32"/>
          <w:szCs w:val="32"/>
          <w:lang w:val="en-US" w:eastAsia="zh-CN"/>
        </w:rPr>
        <w:t>18.支持产业数字化。</w:t>
      </w:r>
      <w:r>
        <w:rPr>
          <w:rFonts w:hint="eastAsia" w:ascii="仿宋_GB2312" w:hAnsi="仿宋_GB2312" w:eastAsia="仿宋_GB2312" w:cs="仿宋_GB2312"/>
          <w:color w:val="auto"/>
          <w:kern w:val="0"/>
          <w:sz w:val="32"/>
          <w:szCs w:val="32"/>
          <w:lang w:val="en-US" w:eastAsia="zh-CN" w:bidi="ar"/>
        </w:rPr>
        <w:t>对通过国家两化融合管理体系贯标认定的企业，根据贯标等级进行奖励，其中A级、AA级、AAA级及以上分别给予最高10万元、20万元、30万元的一次性奖励。对首次通过 DCMM （数据管理能力成熟度评估模型标准）二级、三级、四级及以上评估认证的企业，分别给予最高20万元、30万元、50万元一次性奖励。（责任单位：市工业和信息化局、市财政局）</w:t>
      </w:r>
    </w:p>
    <w:p>
      <w:pPr>
        <w:keepNext w:val="0"/>
        <w:keepLines w:val="0"/>
        <w:pageBreakBefore w:val="0"/>
        <w:widowControl w:val="0"/>
        <w:kinsoku/>
        <w:wordWrap/>
        <w:overflowPunct/>
        <w:topLinePunct w:val="0"/>
        <w:autoSpaceDE/>
        <w:autoSpaceDN/>
        <w:bidi w:val="0"/>
        <w:adjustRightInd/>
        <w:spacing w:before="0" w:line="580" w:lineRule="exact"/>
        <w:ind w:firstLine="640" w:firstLineChars="200"/>
        <w:jc w:val="both"/>
        <w:textAlignment w:val="auto"/>
        <w:rPr>
          <w:rFonts w:hint="eastAsia" w:ascii="仿宋_GB2312" w:hAnsi="仿宋_GB2312" w:eastAsia="仿宋_GB2312" w:cs="Calibri"/>
          <w:bCs w:val="0"/>
          <w:color w:val="auto"/>
          <w:kern w:val="2"/>
          <w:sz w:val="32"/>
          <w:szCs w:val="32"/>
          <w:lang w:val="en-US" w:eastAsia="zh-CN" w:bidi="ar-SA"/>
        </w:rPr>
      </w:pPr>
      <w:r>
        <w:rPr>
          <w:rFonts w:hint="eastAsia" w:ascii="方正楷体简体" w:hAnsi="方正楷体简体" w:eastAsia="方正楷体简体" w:cs="方正楷体简体"/>
          <w:bCs w:val="0"/>
          <w:color w:val="auto"/>
          <w:kern w:val="2"/>
          <w:sz w:val="32"/>
          <w:szCs w:val="32"/>
          <w:lang w:val="en-US" w:eastAsia="zh-CN" w:bidi="ar-SA"/>
        </w:rPr>
        <w:t>19.支持企业开展智能制造。</w:t>
      </w:r>
      <w:r>
        <w:rPr>
          <w:rFonts w:hint="eastAsia" w:ascii="仿宋_GB2312" w:hAnsi="仿宋_GB2312" w:eastAsia="仿宋_GB2312" w:cs="Calibri"/>
          <w:bCs w:val="0"/>
          <w:color w:val="auto"/>
          <w:kern w:val="2"/>
          <w:sz w:val="32"/>
          <w:szCs w:val="32"/>
          <w:lang w:val="en-US" w:eastAsia="zh-CN" w:bidi="ar-SA"/>
        </w:rPr>
        <w:t>对新获认定的国家级智能制造示范工厂、智能制造优秀场景，分别给予最高100万元、50万元一次性奖励；对新获认定的省级智能制造系统解决方案供应商、智能制造标杆企业、智能工厂、数字化车间、智能制造场景，分别给予最高80万元、60万元、50万元、20万元、5万元一次性奖励。（责任单位：市工业和信息化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五、支持企业绿色发展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rPr>
      </w:pPr>
      <w:r>
        <w:rPr>
          <w:rFonts w:hint="eastAsia" w:ascii="方正楷体简体" w:hAnsi="方正楷体简体" w:eastAsia="方正楷体简体" w:cs="方正楷体简体"/>
          <w:color w:val="auto"/>
          <w:sz w:val="32"/>
          <w:szCs w:val="32"/>
          <w:lang w:val="en-US" w:eastAsia="zh-CN"/>
        </w:rPr>
        <w:t>20.支持绿色制造体系建设。</w:t>
      </w:r>
      <w:r>
        <w:rPr>
          <w:rFonts w:hint="eastAsia" w:ascii="仿宋_GB2312" w:hAnsi="仿宋_GB2312" w:eastAsia="仿宋_GB2312" w:cs="仿宋_GB2312"/>
          <w:b w:val="0"/>
          <w:bCs w:val="0"/>
          <w:color w:val="auto"/>
          <w:kern w:val="0"/>
          <w:sz w:val="32"/>
          <w:szCs w:val="32"/>
          <w:lang w:bidi="ar"/>
        </w:rPr>
        <w:t>对</w:t>
      </w:r>
      <w:r>
        <w:rPr>
          <w:rFonts w:hint="eastAsia" w:ascii="仿宋_GB2312" w:hAnsi="仿宋_GB2312" w:eastAsia="仿宋_GB2312" w:cs="仿宋_GB2312"/>
          <w:b w:val="0"/>
          <w:bCs w:val="0"/>
          <w:color w:val="auto"/>
          <w:kern w:val="0"/>
          <w:sz w:val="32"/>
          <w:szCs w:val="32"/>
          <w:lang w:eastAsia="zh-CN" w:bidi="ar"/>
        </w:rPr>
        <w:t>新</w:t>
      </w:r>
      <w:r>
        <w:rPr>
          <w:rFonts w:hint="eastAsia" w:ascii="仿宋_GB2312" w:hAnsi="仿宋_GB2312" w:eastAsia="仿宋_GB2312" w:cs="仿宋_GB2312"/>
          <w:b w:val="0"/>
          <w:bCs w:val="0"/>
          <w:color w:val="auto"/>
          <w:kern w:val="2"/>
          <w:sz w:val="32"/>
          <w:szCs w:val="32"/>
          <w:lang w:val="en-US" w:eastAsia="zh-CN"/>
        </w:rPr>
        <w:t>评为国家级、省级绿色工业园区的，分别给予园区管理（运营）机构最高</w:t>
      </w:r>
      <w:r>
        <w:rPr>
          <w:rFonts w:hint="default" w:ascii="仿宋_GB2312" w:hAnsi="仿宋_GB2312" w:eastAsia="仿宋_GB2312" w:cs="仿宋_GB2312"/>
          <w:b w:val="0"/>
          <w:bCs w:val="0"/>
          <w:color w:val="auto"/>
          <w:kern w:val="2"/>
          <w:sz w:val="32"/>
          <w:szCs w:val="32"/>
          <w:lang w:val="en" w:eastAsia="zh-CN"/>
        </w:rPr>
        <w:t>50</w:t>
      </w:r>
      <w:r>
        <w:rPr>
          <w:rFonts w:hint="eastAsia" w:ascii="仿宋_GB2312" w:hAnsi="仿宋_GB2312" w:eastAsia="仿宋_GB2312" w:cs="仿宋_GB2312"/>
          <w:b w:val="0"/>
          <w:bCs w:val="0"/>
          <w:color w:val="auto"/>
          <w:kern w:val="2"/>
          <w:sz w:val="32"/>
          <w:szCs w:val="32"/>
          <w:lang w:val="en-US" w:eastAsia="zh-CN"/>
        </w:rPr>
        <w:t>万元、</w:t>
      </w:r>
      <w:r>
        <w:rPr>
          <w:rFonts w:hint="default" w:ascii="仿宋_GB2312" w:hAnsi="仿宋_GB2312" w:eastAsia="仿宋_GB2312" w:cs="仿宋_GB2312"/>
          <w:b w:val="0"/>
          <w:bCs w:val="0"/>
          <w:color w:val="auto"/>
          <w:kern w:val="2"/>
          <w:sz w:val="32"/>
          <w:szCs w:val="32"/>
          <w:lang w:val="en" w:eastAsia="zh-CN"/>
        </w:rPr>
        <w:t>3</w:t>
      </w:r>
      <w:r>
        <w:rPr>
          <w:rFonts w:hint="eastAsia" w:ascii="仿宋_GB2312" w:hAnsi="仿宋_GB2312" w:eastAsia="仿宋_GB2312" w:cs="仿宋_GB2312"/>
          <w:b w:val="0"/>
          <w:bCs w:val="0"/>
          <w:color w:val="auto"/>
          <w:kern w:val="2"/>
          <w:sz w:val="32"/>
          <w:szCs w:val="32"/>
          <w:lang w:val="en-US" w:eastAsia="zh-CN"/>
        </w:rPr>
        <w:t>0万元的一次性奖励；对新评为国家级、省级绿色工厂的企业，分别给予最高30万元、20万元一次性奖励。对新评为国家绿色供应链管理和国家工业产品绿色设计示范的企业，分别给予最高20万元、10万元一次性奖励，对新获国家绿色设计产品的企业，每种产品给予最高5万元一次性奖励。</w:t>
      </w:r>
      <w:r>
        <w:rPr>
          <w:rFonts w:hint="eastAsia" w:ascii="仿宋_GB2312" w:hAnsi="仿宋_GB2312" w:eastAsia="仿宋_GB2312" w:cs="仿宋_GB2312"/>
          <w:bCs w:val="0"/>
          <w:color w:val="auto"/>
          <w:kern w:val="2"/>
          <w:sz w:val="32"/>
          <w:szCs w:val="32"/>
          <w:lang w:val="en-US" w:eastAsia="zh-CN"/>
        </w:rPr>
        <w:t>对新获国家级、省级能效领跑者、水效领跑者同等级节能降耗相关荣誉称号的企业，分别给予最高30万元、20万元一次性奖励。鼓励工业企业开展节能节水技术改造（含节能节水综合管理平台、余热余压回收利用、太阳能集热系统、废水循环利用、工业污水处理等项目），对其设备（含软件）投资参照第一条的有关标准给予奖补。</w:t>
      </w:r>
      <w:r>
        <w:rPr>
          <w:rFonts w:hint="eastAsia" w:ascii="仿宋_GB2312" w:hAnsi="仿宋_GB2312" w:eastAsia="仿宋_GB2312" w:cs="仿宋_GB2312"/>
          <w:b w:val="0"/>
          <w:bCs w:val="0"/>
          <w:color w:val="auto"/>
          <w:kern w:val="2"/>
          <w:sz w:val="32"/>
          <w:szCs w:val="32"/>
          <w:lang w:val="en-US" w:eastAsia="zh-CN"/>
        </w:rPr>
        <w:t>（责任单位：市工业和信息化局、市财政局）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上述政策与我市已出台的其它政策不一致的，以本政策内容为准。为保持政策的连续性，本政策适用于2022年1月1日以后获得的各类</w:t>
      </w:r>
      <w:r>
        <w:rPr>
          <w:rFonts w:hint="eastAsia" w:ascii="仿宋_GB2312" w:hAnsi="仿宋_GB2312" w:eastAsia="仿宋_GB2312" w:cs="仿宋_GB2312"/>
          <w:bCs w:val="0"/>
          <w:color w:val="auto"/>
          <w:kern w:val="2"/>
          <w:sz w:val="32"/>
          <w:szCs w:val="32"/>
          <w:lang w:val="en-US" w:eastAsia="zh-CN"/>
        </w:rPr>
        <w:t>荣誉称号。</w:t>
      </w:r>
      <w:r>
        <w:rPr>
          <w:rFonts w:hint="eastAsia" w:ascii="仿宋_GB2312" w:hAnsi="仿宋_GB2312" w:eastAsia="仿宋_GB2312" w:cs="仿宋_GB2312"/>
          <w:bCs w:val="0"/>
          <w:color w:val="auto"/>
          <w:kern w:val="2"/>
          <w:sz w:val="32"/>
          <w:szCs w:val="32"/>
          <w:lang w:val="en-US" w:eastAsia="zh-CN" w:bidi="ar-SA"/>
        </w:rPr>
        <w:t>按照就高不就低的原则，同一企业同类政策不重复享受。本政策自印发之日起实施，有效期三年。</w:t>
      </w:r>
    </w:p>
    <w:p>
      <w:pPr>
        <w:pStyle w:val="9"/>
        <w:ind w:left="0" w:leftChars="0" w:firstLine="0" w:firstLineChars="0"/>
        <w:rPr>
          <w:rFonts w:hint="default" w:ascii="仿宋_GB2312" w:hAnsi="仿宋_GB2312" w:eastAsia="仿宋_GB2312" w:cs="仿宋_GB2312"/>
          <w:color w:val="auto"/>
          <w:sz w:val="32"/>
          <w:szCs w:val="32"/>
          <w:lang w:val="en-US" w:eastAsia="zh-CN"/>
        </w:rPr>
      </w:pPr>
    </w:p>
    <w:sectPr>
      <w:footerReference r:id="rId3" w:type="default"/>
      <w:pgSz w:w="11906" w:h="16838"/>
      <w:pgMar w:top="1701" w:right="1587" w:bottom="1587" w:left="1587" w:header="1134" w:footer="124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简体">
    <w:altName w:val="方正黑体_GBK"/>
    <w:panose1 w:val="02000000000000000000"/>
    <w:charset w:val="86"/>
    <w:family w:val="auto"/>
    <w:pitch w:val="default"/>
    <w:sig w:usb0="00000000" w:usb1="00000000" w:usb2="00000012" w:usb3="00000000" w:csb0="00040001" w:csb1="00000000"/>
  </w:font>
  <w:font w:name="方正楷体简体">
    <w:altName w:val="方正楷体_GBK"/>
    <w:panose1 w:val="02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sdt>
                          <w:sdtPr>
                            <w:id w:val="51983047"/>
                          </w:sdtPr>
                          <w:sdtContent>
                            <w:p>
                              <w:pPr>
                                <w:pStyle w:val="13"/>
                                <w:jc w:val="cente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lang w:val="zh-CN"/>
                                </w:rPr>
                                <w:t>2</w:t>
                              </w:r>
                              <w:r>
                                <w:rPr>
                                  <w:rFonts w:hint="eastAsia" w:asciiTheme="majorEastAsia" w:hAnsiTheme="majorEastAsia" w:eastAsiaTheme="majorEastAsia" w:cstheme="majorEastAsia"/>
                                  <w:sz w:val="21"/>
                                  <w:szCs w:val="21"/>
                                  <w:lang w:val="zh-CN"/>
                                </w:rPr>
                                <w:fldChar w:fldCharType="end"/>
                              </w:r>
                            </w:p>
                          </w:sdtContent>
                        </w:sdt>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dh1JLswEAAFIDAAAOAAAAAAAAAAEAIAAAADQBAABkcnMvZTJvRG9j&#10;LnhtbFBLBQYAAAAABgAGAFkBAABZBQAAAAA=&#10;">
              <v:fill on="f" focussize="0,0"/>
              <v:stroke on="f"/>
              <v:imagedata o:title=""/>
              <o:lock v:ext="edit" aspectratio="f"/>
              <v:textbox inset="0mm,0mm,0mm,0mm" style="mso-fit-shape-to-text:t;">
                <w:txbxContent>
                  <w:sdt>
                    <w:sdtPr>
                      <w:id w:val="51983047"/>
                    </w:sdtPr>
                    <w:sdtContent>
                      <w:p>
                        <w:pPr>
                          <w:pStyle w:val="13"/>
                          <w:jc w:val="cente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lang w:val="zh-CN"/>
                          </w:rPr>
                          <w:t>2</w:t>
                        </w:r>
                        <w:r>
                          <w:rPr>
                            <w:rFonts w:hint="eastAsia" w:asciiTheme="majorEastAsia" w:hAnsiTheme="majorEastAsia" w:eastAsiaTheme="majorEastAsia" w:cstheme="majorEastAsia"/>
                            <w:sz w:val="21"/>
                            <w:szCs w:val="21"/>
                            <w:lang w:val="zh-CN"/>
                          </w:rPr>
                          <w:fldChar w:fldCharType="end"/>
                        </w:r>
                      </w:p>
                    </w:sdtContent>
                  </w:sdt>
                  <w:p/>
                </w:txbxContent>
              </v:textbox>
            </v:shape>
          </w:pict>
        </mc:Fallback>
      </mc:AlternateConten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displayBackgroundShape w:val="true"/>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YTNjNmMzMDA5ZGJhYzRjYzAwODlhNWYyYjViMzAifQ=="/>
  </w:docVars>
  <w:rsids>
    <w:rsidRoot w:val="009E2631"/>
    <w:rsid w:val="000032B3"/>
    <w:rsid w:val="00020DD4"/>
    <w:rsid w:val="00021184"/>
    <w:rsid w:val="00024738"/>
    <w:rsid w:val="00026374"/>
    <w:rsid w:val="00031F03"/>
    <w:rsid w:val="00035DF9"/>
    <w:rsid w:val="00042983"/>
    <w:rsid w:val="000609CA"/>
    <w:rsid w:val="00067FF1"/>
    <w:rsid w:val="00072392"/>
    <w:rsid w:val="00076661"/>
    <w:rsid w:val="000956B1"/>
    <w:rsid w:val="000C1748"/>
    <w:rsid w:val="000C476C"/>
    <w:rsid w:val="001129B4"/>
    <w:rsid w:val="001140A3"/>
    <w:rsid w:val="0012183E"/>
    <w:rsid w:val="00133A26"/>
    <w:rsid w:val="001407F2"/>
    <w:rsid w:val="00146AAB"/>
    <w:rsid w:val="001567E6"/>
    <w:rsid w:val="001724E3"/>
    <w:rsid w:val="0017407A"/>
    <w:rsid w:val="00182778"/>
    <w:rsid w:val="00190B3D"/>
    <w:rsid w:val="001B486F"/>
    <w:rsid w:val="001C1454"/>
    <w:rsid w:val="001F6994"/>
    <w:rsid w:val="002120E9"/>
    <w:rsid w:val="00212FF9"/>
    <w:rsid w:val="00214D2D"/>
    <w:rsid w:val="0022007C"/>
    <w:rsid w:val="00222EC8"/>
    <w:rsid w:val="0025284E"/>
    <w:rsid w:val="00285695"/>
    <w:rsid w:val="00296375"/>
    <w:rsid w:val="002A3304"/>
    <w:rsid w:val="002A36E8"/>
    <w:rsid w:val="002B397E"/>
    <w:rsid w:val="002C42D5"/>
    <w:rsid w:val="002D4AEE"/>
    <w:rsid w:val="002F3B98"/>
    <w:rsid w:val="002F7904"/>
    <w:rsid w:val="00317726"/>
    <w:rsid w:val="00321F0B"/>
    <w:rsid w:val="00325094"/>
    <w:rsid w:val="003475D1"/>
    <w:rsid w:val="003577F9"/>
    <w:rsid w:val="00367257"/>
    <w:rsid w:val="003736DE"/>
    <w:rsid w:val="00385C1D"/>
    <w:rsid w:val="003A376F"/>
    <w:rsid w:val="003B0152"/>
    <w:rsid w:val="003C3B6D"/>
    <w:rsid w:val="003C4503"/>
    <w:rsid w:val="003D65CF"/>
    <w:rsid w:val="003D6B45"/>
    <w:rsid w:val="003E61C0"/>
    <w:rsid w:val="003F3DFE"/>
    <w:rsid w:val="004015D0"/>
    <w:rsid w:val="004109E9"/>
    <w:rsid w:val="00411805"/>
    <w:rsid w:val="00420294"/>
    <w:rsid w:val="00427162"/>
    <w:rsid w:val="004310D8"/>
    <w:rsid w:val="00432023"/>
    <w:rsid w:val="00437768"/>
    <w:rsid w:val="0044647C"/>
    <w:rsid w:val="00463904"/>
    <w:rsid w:val="0046437B"/>
    <w:rsid w:val="004711C9"/>
    <w:rsid w:val="00482EC9"/>
    <w:rsid w:val="00483FFE"/>
    <w:rsid w:val="004864CD"/>
    <w:rsid w:val="00492B5F"/>
    <w:rsid w:val="004B2CB0"/>
    <w:rsid w:val="004B3E3E"/>
    <w:rsid w:val="00500DDE"/>
    <w:rsid w:val="00502636"/>
    <w:rsid w:val="00506C4D"/>
    <w:rsid w:val="00512BC1"/>
    <w:rsid w:val="00514245"/>
    <w:rsid w:val="005173F8"/>
    <w:rsid w:val="005336DC"/>
    <w:rsid w:val="005336FB"/>
    <w:rsid w:val="00533ADF"/>
    <w:rsid w:val="005442C2"/>
    <w:rsid w:val="00545073"/>
    <w:rsid w:val="00555CA9"/>
    <w:rsid w:val="005572DE"/>
    <w:rsid w:val="0058380C"/>
    <w:rsid w:val="00587935"/>
    <w:rsid w:val="00591518"/>
    <w:rsid w:val="00592B40"/>
    <w:rsid w:val="005B35DB"/>
    <w:rsid w:val="005B59F3"/>
    <w:rsid w:val="005D7547"/>
    <w:rsid w:val="005E3868"/>
    <w:rsid w:val="005E3EE2"/>
    <w:rsid w:val="005E50E9"/>
    <w:rsid w:val="005F08CE"/>
    <w:rsid w:val="006066D8"/>
    <w:rsid w:val="00613BC7"/>
    <w:rsid w:val="00630614"/>
    <w:rsid w:val="00642E17"/>
    <w:rsid w:val="006460E1"/>
    <w:rsid w:val="0065594D"/>
    <w:rsid w:val="00670391"/>
    <w:rsid w:val="006748A3"/>
    <w:rsid w:val="00677562"/>
    <w:rsid w:val="00684CC8"/>
    <w:rsid w:val="0068633F"/>
    <w:rsid w:val="00690CF0"/>
    <w:rsid w:val="00691FB3"/>
    <w:rsid w:val="006A6F37"/>
    <w:rsid w:val="006B36B2"/>
    <w:rsid w:val="00711575"/>
    <w:rsid w:val="00720407"/>
    <w:rsid w:val="00726054"/>
    <w:rsid w:val="00735BE3"/>
    <w:rsid w:val="00740CDD"/>
    <w:rsid w:val="00744F26"/>
    <w:rsid w:val="00745A41"/>
    <w:rsid w:val="00762DEB"/>
    <w:rsid w:val="007748FA"/>
    <w:rsid w:val="00784C62"/>
    <w:rsid w:val="007871A2"/>
    <w:rsid w:val="00796728"/>
    <w:rsid w:val="007C7594"/>
    <w:rsid w:val="007D2E4C"/>
    <w:rsid w:val="007F1773"/>
    <w:rsid w:val="00800346"/>
    <w:rsid w:val="008034A4"/>
    <w:rsid w:val="00814672"/>
    <w:rsid w:val="00820C15"/>
    <w:rsid w:val="00820C66"/>
    <w:rsid w:val="00826BCB"/>
    <w:rsid w:val="00827969"/>
    <w:rsid w:val="00830EE6"/>
    <w:rsid w:val="0083123F"/>
    <w:rsid w:val="008369E0"/>
    <w:rsid w:val="00840D77"/>
    <w:rsid w:val="00864806"/>
    <w:rsid w:val="00883104"/>
    <w:rsid w:val="0088715F"/>
    <w:rsid w:val="008951EA"/>
    <w:rsid w:val="008D35A8"/>
    <w:rsid w:val="008D7FC4"/>
    <w:rsid w:val="008E2D76"/>
    <w:rsid w:val="008E4405"/>
    <w:rsid w:val="008E56A8"/>
    <w:rsid w:val="00904D77"/>
    <w:rsid w:val="0091235C"/>
    <w:rsid w:val="00915443"/>
    <w:rsid w:val="00926923"/>
    <w:rsid w:val="00926964"/>
    <w:rsid w:val="009339E5"/>
    <w:rsid w:val="00944887"/>
    <w:rsid w:val="00947A3B"/>
    <w:rsid w:val="009745EF"/>
    <w:rsid w:val="009765CF"/>
    <w:rsid w:val="009815BE"/>
    <w:rsid w:val="009838EB"/>
    <w:rsid w:val="00985F6B"/>
    <w:rsid w:val="00986136"/>
    <w:rsid w:val="009A2913"/>
    <w:rsid w:val="009E2631"/>
    <w:rsid w:val="009F12C2"/>
    <w:rsid w:val="00A067AA"/>
    <w:rsid w:val="00A152B4"/>
    <w:rsid w:val="00A23D48"/>
    <w:rsid w:val="00A302CF"/>
    <w:rsid w:val="00A37074"/>
    <w:rsid w:val="00A62354"/>
    <w:rsid w:val="00A751FF"/>
    <w:rsid w:val="00A8579C"/>
    <w:rsid w:val="00A90C76"/>
    <w:rsid w:val="00AA0936"/>
    <w:rsid w:val="00AA6510"/>
    <w:rsid w:val="00AC0C93"/>
    <w:rsid w:val="00AC4E09"/>
    <w:rsid w:val="00AD7D78"/>
    <w:rsid w:val="00AF194C"/>
    <w:rsid w:val="00AF35E1"/>
    <w:rsid w:val="00AF62B1"/>
    <w:rsid w:val="00B202B2"/>
    <w:rsid w:val="00B36137"/>
    <w:rsid w:val="00B41EE4"/>
    <w:rsid w:val="00B51A5E"/>
    <w:rsid w:val="00B523F6"/>
    <w:rsid w:val="00B53E15"/>
    <w:rsid w:val="00B804F0"/>
    <w:rsid w:val="00B945E8"/>
    <w:rsid w:val="00BA3852"/>
    <w:rsid w:val="00BB4412"/>
    <w:rsid w:val="00BC0887"/>
    <w:rsid w:val="00BC5155"/>
    <w:rsid w:val="00BE5EF9"/>
    <w:rsid w:val="00BE7761"/>
    <w:rsid w:val="00C0394A"/>
    <w:rsid w:val="00C1322E"/>
    <w:rsid w:val="00C15C76"/>
    <w:rsid w:val="00C1788E"/>
    <w:rsid w:val="00C77BEB"/>
    <w:rsid w:val="00C83A05"/>
    <w:rsid w:val="00C9269D"/>
    <w:rsid w:val="00CA22CA"/>
    <w:rsid w:val="00CA4B16"/>
    <w:rsid w:val="00CA4E22"/>
    <w:rsid w:val="00CC00D1"/>
    <w:rsid w:val="00CE4802"/>
    <w:rsid w:val="00CE68FD"/>
    <w:rsid w:val="00CF33F4"/>
    <w:rsid w:val="00D011FA"/>
    <w:rsid w:val="00D1532A"/>
    <w:rsid w:val="00D22264"/>
    <w:rsid w:val="00D23DF8"/>
    <w:rsid w:val="00D54BF7"/>
    <w:rsid w:val="00D61072"/>
    <w:rsid w:val="00D6327C"/>
    <w:rsid w:val="00D90343"/>
    <w:rsid w:val="00DA0727"/>
    <w:rsid w:val="00DA2726"/>
    <w:rsid w:val="00DA3B31"/>
    <w:rsid w:val="00DC6F20"/>
    <w:rsid w:val="00DD1125"/>
    <w:rsid w:val="00DD4A16"/>
    <w:rsid w:val="00DE10F5"/>
    <w:rsid w:val="00DE1BD6"/>
    <w:rsid w:val="00DE1C78"/>
    <w:rsid w:val="00E14D12"/>
    <w:rsid w:val="00E24131"/>
    <w:rsid w:val="00E257F6"/>
    <w:rsid w:val="00E32093"/>
    <w:rsid w:val="00E61328"/>
    <w:rsid w:val="00E643B0"/>
    <w:rsid w:val="00E66BB9"/>
    <w:rsid w:val="00E81593"/>
    <w:rsid w:val="00E81FDF"/>
    <w:rsid w:val="00E82FC4"/>
    <w:rsid w:val="00E850D6"/>
    <w:rsid w:val="00EA6E64"/>
    <w:rsid w:val="00EB066C"/>
    <w:rsid w:val="00EC3595"/>
    <w:rsid w:val="00ED6B1B"/>
    <w:rsid w:val="00EE4DBD"/>
    <w:rsid w:val="00EF4242"/>
    <w:rsid w:val="00EF7147"/>
    <w:rsid w:val="00F06386"/>
    <w:rsid w:val="00F07389"/>
    <w:rsid w:val="00F249B3"/>
    <w:rsid w:val="00F25477"/>
    <w:rsid w:val="00F32B89"/>
    <w:rsid w:val="00F36E88"/>
    <w:rsid w:val="00F4140A"/>
    <w:rsid w:val="00F4258A"/>
    <w:rsid w:val="00F45681"/>
    <w:rsid w:val="00F63BA0"/>
    <w:rsid w:val="00F65380"/>
    <w:rsid w:val="00F77887"/>
    <w:rsid w:val="00F82AEC"/>
    <w:rsid w:val="00FB4814"/>
    <w:rsid w:val="00FB6D90"/>
    <w:rsid w:val="00FB717B"/>
    <w:rsid w:val="00FC66DD"/>
    <w:rsid w:val="00FD3B64"/>
    <w:rsid w:val="00FD4DB8"/>
    <w:rsid w:val="00FE133A"/>
    <w:rsid w:val="00FE6D51"/>
    <w:rsid w:val="016D1C16"/>
    <w:rsid w:val="019D49D5"/>
    <w:rsid w:val="01EB3BFF"/>
    <w:rsid w:val="02646956"/>
    <w:rsid w:val="02A25B03"/>
    <w:rsid w:val="02CF249E"/>
    <w:rsid w:val="031C753A"/>
    <w:rsid w:val="03211D5E"/>
    <w:rsid w:val="032A4C2A"/>
    <w:rsid w:val="035205E3"/>
    <w:rsid w:val="03995571"/>
    <w:rsid w:val="03DD58A0"/>
    <w:rsid w:val="03E1054D"/>
    <w:rsid w:val="03FF759D"/>
    <w:rsid w:val="0410675B"/>
    <w:rsid w:val="043B5D97"/>
    <w:rsid w:val="043E4527"/>
    <w:rsid w:val="04627D4C"/>
    <w:rsid w:val="04804C76"/>
    <w:rsid w:val="04B46EBA"/>
    <w:rsid w:val="04BA5035"/>
    <w:rsid w:val="04F85674"/>
    <w:rsid w:val="0531051B"/>
    <w:rsid w:val="057073FB"/>
    <w:rsid w:val="05A4279A"/>
    <w:rsid w:val="05F86D37"/>
    <w:rsid w:val="06104114"/>
    <w:rsid w:val="064C3158"/>
    <w:rsid w:val="0662622E"/>
    <w:rsid w:val="06723F73"/>
    <w:rsid w:val="069300A1"/>
    <w:rsid w:val="069B026A"/>
    <w:rsid w:val="06FD0173"/>
    <w:rsid w:val="074F728A"/>
    <w:rsid w:val="075B739E"/>
    <w:rsid w:val="07AE7B19"/>
    <w:rsid w:val="08224F35"/>
    <w:rsid w:val="082C2838"/>
    <w:rsid w:val="08E62C89"/>
    <w:rsid w:val="09952FD0"/>
    <w:rsid w:val="0A237D7B"/>
    <w:rsid w:val="0A727A3C"/>
    <w:rsid w:val="0AEB53EA"/>
    <w:rsid w:val="0B6D421A"/>
    <w:rsid w:val="0BA15588"/>
    <w:rsid w:val="0BCB595D"/>
    <w:rsid w:val="0BD63CA7"/>
    <w:rsid w:val="0BE32F09"/>
    <w:rsid w:val="0C0F287C"/>
    <w:rsid w:val="0C5746E1"/>
    <w:rsid w:val="0CA549AE"/>
    <w:rsid w:val="0CE96897"/>
    <w:rsid w:val="0D154104"/>
    <w:rsid w:val="0D75317A"/>
    <w:rsid w:val="0E3440FE"/>
    <w:rsid w:val="0E7C567C"/>
    <w:rsid w:val="0EAE6E6A"/>
    <w:rsid w:val="0EC7376C"/>
    <w:rsid w:val="0EE6625B"/>
    <w:rsid w:val="0F1F38C6"/>
    <w:rsid w:val="0FC43F88"/>
    <w:rsid w:val="10487891"/>
    <w:rsid w:val="106056F4"/>
    <w:rsid w:val="106B41B0"/>
    <w:rsid w:val="1080345B"/>
    <w:rsid w:val="10C86023"/>
    <w:rsid w:val="10FC728A"/>
    <w:rsid w:val="119B3FD7"/>
    <w:rsid w:val="11A669DC"/>
    <w:rsid w:val="11CE4DBF"/>
    <w:rsid w:val="12416DF7"/>
    <w:rsid w:val="126E6462"/>
    <w:rsid w:val="12733396"/>
    <w:rsid w:val="12F42B7E"/>
    <w:rsid w:val="138749F3"/>
    <w:rsid w:val="13AF3AB5"/>
    <w:rsid w:val="13E900F7"/>
    <w:rsid w:val="13ED1CA8"/>
    <w:rsid w:val="14135631"/>
    <w:rsid w:val="14254440"/>
    <w:rsid w:val="14294827"/>
    <w:rsid w:val="14477B09"/>
    <w:rsid w:val="148F3E3A"/>
    <w:rsid w:val="14960380"/>
    <w:rsid w:val="15002453"/>
    <w:rsid w:val="157D6997"/>
    <w:rsid w:val="157E501F"/>
    <w:rsid w:val="15B043BF"/>
    <w:rsid w:val="15F370B2"/>
    <w:rsid w:val="16641AA0"/>
    <w:rsid w:val="168F30FA"/>
    <w:rsid w:val="16964761"/>
    <w:rsid w:val="16B33179"/>
    <w:rsid w:val="176B3A8A"/>
    <w:rsid w:val="186638CC"/>
    <w:rsid w:val="18692F8C"/>
    <w:rsid w:val="187E2EED"/>
    <w:rsid w:val="188B321F"/>
    <w:rsid w:val="18B62818"/>
    <w:rsid w:val="18FD2EB1"/>
    <w:rsid w:val="190258FE"/>
    <w:rsid w:val="19C521B3"/>
    <w:rsid w:val="19FD1527"/>
    <w:rsid w:val="1A73047D"/>
    <w:rsid w:val="1A760F15"/>
    <w:rsid w:val="1A7D43E8"/>
    <w:rsid w:val="1AFC6B73"/>
    <w:rsid w:val="1B483BA9"/>
    <w:rsid w:val="1B8616DF"/>
    <w:rsid w:val="1C850893"/>
    <w:rsid w:val="1C8C2F36"/>
    <w:rsid w:val="1C8C536B"/>
    <w:rsid w:val="1CE95CB3"/>
    <w:rsid w:val="1D0160E8"/>
    <w:rsid w:val="1D1A2876"/>
    <w:rsid w:val="1D59075D"/>
    <w:rsid w:val="1DE04DCB"/>
    <w:rsid w:val="1F0A182E"/>
    <w:rsid w:val="1F1C56D4"/>
    <w:rsid w:val="1F3E0D94"/>
    <w:rsid w:val="1F991117"/>
    <w:rsid w:val="21004ABE"/>
    <w:rsid w:val="21106767"/>
    <w:rsid w:val="211E6789"/>
    <w:rsid w:val="214D44B4"/>
    <w:rsid w:val="22775CBC"/>
    <w:rsid w:val="22876A70"/>
    <w:rsid w:val="22940636"/>
    <w:rsid w:val="22C36F0C"/>
    <w:rsid w:val="22C40D87"/>
    <w:rsid w:val="236625C0"/>
    <w:rsid w:val="237749D6"/>
    <w:rsid w:val="238106B1"/>
    <w:rsid w:val="23A055C6"/>
    <w:rsid w:val="23A46CF8"/>
    <w:rsid w:val="240A68BC"/>
    <w:rsid w:val="247D330A"/>
    <w:rsid w:val="24845456"/>
    <w:rsid w:val="249431CA"/>
    <w:rsid w:val="24D74188"/>
    <w:rsid w:val="24EA632D"/>
    <w:rsid w:val="255B1FDA"/>
    <w:rsid w:val="25774692"/>
    <w:rsid w:val="25B37A3B"/>
    <w:rsid w:val="25CA551A"/>
    <w:rsid w:val="25FF3AF7"/>
    <w:rsid w:val="264E600F"/>
    <w:rsid w:val="26BB1161"/>
    <w:rsid w:val="27084126"/>
    <w:rsid w:val="27605AE5"/>
    <w:rsid w:val="277C0B00"/>
    <w:rsid w:val="28155DF8"/>
    <w:rsid w:val="285A56A2"/>
    <w:rsid w:val="2949312B"/>
    <w:rsid w:val="295B3194"/>
    <w:rsid w:val="29940481"/>
    <w:rsid w:val="2A2F724A"/>
    <w:rsid w:val="2A575B27"/>
    <w:rsid w:val="2AA843DB"/>
    <w:rsid w:val="2ABA78DC"/>
    <w:rsid w:val="2AC96906"/>
    <w:rsid w:val="2B4704B4"/>
    <w:rsid w:val="2B6165B0"/>
    <w:rsid w:val="2B684429"/>
    <w:rsid w:val="2BB97566"/>
    <w:rsid w:val="2BED6F10"/>
    <w:rsid w:val="2C00530F"/>
    <w:rsid w:val="2C5A5073"/>
    <w:rsid w:val="2C734B9E"/>
    <w:rsid w:val="2C831AB5"/>
    <w:rsid w:val="2CF40B45"/>
    <w:rsid w:val="2D252E50"/>
    <w:rsid w:val="2D290669"/>
    <w:rsid w:val="2D592FED"/>
    <w:rsid w:val="2D607741"/>
    <w:rsid w:val="2DC84CBD"/>
    <w:rsid w:val="2DE924CB"/>
    <w:rsid w:val="2DF929FF"/>
    <w:rsid w:val="2DFD1229"/>
    <w:rsid w:val="2E4F2C42"/>
    <w:rsid w:val="2E520B65"/>
    <w:rsid w:val="2E8C5407"/>
    <w:rsid w:val="2E910781"/>
    <w:rsid w:val="2E9678B0"/>
    <w:rsid w:val="2E9D18F6"/>
    <w:rsid w:val="2EA42D93"/>
    <w:rsid w:val="2ECD6377"/>
    <w:rsid w:val="2EFA78B4"/>
    <w:rsid w:val="2F370004"/>
    <w:rsid w:val="2F4C30AA"/>
    <w:rsid w:val="2FB847BA"/>
    <w:rsid w:val="30732833"/>
    <w:rsid w:val="30A50645"/>
    <w:rsid w:val="30BC67B4"/>
    <w:rsid w:val="30DE03B7"/>
    <w:rsid w:val="316F23BE"/>
    <w:rsid w:val="31E2635D"/>
    <w:rsid w:val="31E66448"/>
    <w:rsid w:val="31F0690C"/>
    <w:rsid w:val="3216363C"/>
    <w:rsid w:val="32165E86"/>
    <w:rsid w:val="323E450B"/>
    <w:rsid w:val="324923B1"/>
    <w:rsid w:val="325B00EC"/>
    <w:rsid w:val="32B562E7"/>
    <w:rsid w:val="331E0CA7"/>
    <w:rsid w:val="332370FA"/>
    <w:rsid w:val="332C2807"/>
    <w:rsid w:val="332C6054"/>
    <w:rsid w:val="339415DC"/>
    <w:rsid w:val="33BB7E65"/>
    <w:rsid w:val="340B347B"/>
    <w:rsid w:val="3418591E"/>
    <w:rsid w:val="341D08BD"/>
    <w:rsid w:val="34243687"/>
    <w:rsid w:val="34363059"/>
    <w:rsid w:val="34460B9D"/>
    <w:rsid w:val="3450288F"/>
    <w:rsid w:val="34C1035F"/>
    <w:rsid w:val="34DE1691"/>
    <w:rsid w:val="35193035"/>
    <w:rsid w:val="35690701"/>
    <w:rsid w:val="357F44C8"/>
    <w:rsid w:val="35A753F7"/>
    <w:rsid w:val="36155079"/>
    <w:rsid w:val="36202D08"/>
    <w:rsid w:val="36293F14"/>
    <w:rsid w:val="363B70A8"/>
    <w:rsid w:val="36835742"/>
    <w:rsid w:val="36B7572F"/>
    <w:rsid w:val="36EE2966"/>
    <w:rsid w:val="36F95F86"/>
    <w:rsid w:val="37156679"/>
    <w:rsid w:val="372F1ADB"/>
    <w:rsid w:val="373F0801"/>
    <w:rsid w:val="377745A0"/>
    <w:rsid w:val="3778029B"/>
    <w:rsid w:val="37E10A1F"/>
    <w:rsid w:val="3850289B"/>
    <w:rsid w:val="38897DA4"/>
    <w:rsid w:val="389246A0"/>
    <w:rsid w:val="38A66E84"/>
    <w:rsid w:val="38A70BCF"/>
    <w:rsid w:val="39135F30"/>
    <w:rsid w:val="3955094B"/>
    <w:rsid w:val="395B30F8"/>
    <w:rsid w:val="395F6DAD"/>
    <w:rsid w:val="39AD22A4"/>
    <w:rsid w:val="3A0051D2"/>
    <w:rsid w:val="3A5C40E8"/>
    <w:rsid w:val="3A777D1D"/>
    <w:rsid w:val="3A7F5FC3"/>
    <w:rsid w:val="3AEB6590"/>
    <w:rsid w:val="3B015879"/>
    <w:rsid w:val="3B53111E"/>
    <w:rsid w:val="3B681750"/>
    <w:rsid w:val="3BA75E95"/>
    <w:rsid w:val="3C2637A5"/>
    <w:rsid w:val="3C3F606A"/>
    <w:rsid w:val="3C860352"/>
    <w:rsid w:val="3CC35524"/>
    <w:rsid w:val="3D767B6B"/>
    <w:rsid w:val="3D816B31"/>
    <w:rsid w:val="3D926C5C"/>
    <w:rsid w:val="3DCB406B"/>
    <w:rsid w:val="3F5F53B1"/>
    <w:rsid w:val="3F623C37"/>
    <w:rsid w:val="3F804CB5"/>
    <w:rsid w:val="3FC043C1"/>
    <w:rsid w:val="3FE6681B"/>
    <w:rsid w:val="3FFB5B3B"/>
    <w:rsid w:val="400F4E3E"/>
    <w:rsid w:val="402B054C"/>
    <w:rsid w:val="40304CF2"/>
    <w:rsid w:val="40362135"/>
    <w:rsid w:val="40424AA5"/>
    <w:rsid w:val="404252D6"/>
    <w:rsid w:val="404775C0"/>
    <w:rsid w:val="40972F41"/>
    <w:rsid w:val="40B65DCB"/>
    <w:rsid w:val="410C5DFE"/>
    <w:rsid w:val="41F51AC3"/>
    <w:rsid w:val="422608D7"/>
    <w:rsid w:val="42D248E5"/>
    <w:rsid w:val="42E13245"/>
    <w:rsid w:val="42F66A00"/>
    <w:rsid w:val="434962CA"/>
    <w:rsid w:val="44D01158"/>
    <w:rsid w:val="44D54D2C"/>
    <w:rsid w:val="44DB7851"/>
    <w:rsid w:val="45054A01"/>
    <w:rsid w:val="45333763"/>
    <w:rsid w:val="455B7189"/>
    <w:rsid w:val="45665FE4"/>
    <w:rsid w:val="45B622A6"/>
    <w:rsid w:val="461E27CB"/>
    <w:rsid w:val="46385599"/>
    <w:rsid w:val="46524345"/>
    <w:rsid w:val="469341BF"/>
    <w:rsid w:val="46F00922"/>
    <w:rsid w:val="472C4A2A"/>
    <w:rsid w:val="47513D8B"/>
    <w:rsid w:val="47E20CC5"/>
    <w:rsid w:val="482B3CBC"/>
    <w:rsid w:val="483A0127"/>
    <w:rsid w:val="48CA6B78"/>
    <w:rsid w:val="48D4437E"/>
    <w:rsid w:val="48E41169"/>
    <w:rsid w:val="4963268D"/>
    <w:rsid w:val="49722663"/>
    <w:rsid w:val="49D510E8"/>
    <w:rsid w:val="4A6539D5"/>
    <w:rsid w:val="4A6C0344"/>
    <w:rsid w:val="4A950789"/>
    <w:rsid w:val="4A950A0C"/>
    <w:rsid w:val="4AC466B4"/>
    <w:rsid w:val="4ACD6614"/>
    <w:rsid w:val="4B030B0A"/>
    <w:rsid w:val="4B3A7D53"/>
    <w:rsid w:val="4B723F93"/>
    <w:rsid w:val="4BA93A90"/>
    <w:rsid w:val="4BB26A2B"/>
    <w:rsid w:val="4C300802"/>
    <w:rsid w:val="4C861B36"/>
    <w:rsid w:val="4C922AEB"/>
    <w:rsid w:val="4CB4785B"/>
    <w:rsid w:val="4CCE177F"/>
    <w:rsid w:val="4CDA10ED"/>
    <w:rsid w:val="4CFD7779"/>
    <w:rsid w:val="4D7F28E0"/>
    <w:rsid w:val="4E3405E7"/>
    <w:rsid w:val="4E666511"/>
    <w:rsid w:val="4E6E5388"/>
    <w:rsid w:val="4E6F62F7"/>
    <w:rsid w:val="4E706715"/>
    <w:rsid w:val="4E8D546F"/>
    <w:rsid w:val="4EA049CE"/>
    <w:rsid w:val="4EA57D29"/>
    <w:rsid w:val="4EF021D8"/>
    <w:rsid w:val="4EF346CC"/>
    <w:rsid w:val="4F350FB6"/>
    <w:rsid w:val="4F5F3361"/>
    <w:rsid w:val="4F755AC3"/>
    <w:rsid w:val="50502BA5"/>
    <w:rsid w:val="50E73E16"/>
    <w:rsid w:val="50F07B9F"/>
    <w:rsid w:val="50F50496"/>
    <w:rsid w:val="51046C83"/>
    <w:rsid w:val="511F3238"/>
    <w:rsid w:val="5145157D"/>
    <w:rsid w:val="518B22F4"/>
    <w:rsid w:val="522724F5"/>
    <w:rsid w:val="525B22A0"/>
    <w:rsid w:val="525B6D08"/>
    <w:rsid w:val="528A3BA5"/>
    <w:rsid w:val="52CD5DC4"/>
    <w:rsid w:val="52E20C13"/>
    <w:rsid w:val="530071B5"/>
    <w:rsid w:val="535A5997"/>
    <w:rsid w:val="53862CF4"/>
    <w:rsid w:val="53AF6141"/>
    <w:rsid w:val="53C12D35"/>
    <w:rsid w:val="53E839DD"/>
    <w:rsid w:val="53FC3D76"/>
    <w:rsid w:val="54003E03"/>
    <w:rsid w:val="546924D6"/>
    <w:rsid w:val="54791CB0"/>
    <w:rsid w:val="547E7584"/>
    <w:rsid w:val="54AF74E9"/>
    <w:rsid w:val="553A7EFC"/>
    <w:rsid w:val="559A41F4"/>
    <w:rsid w:val="55A17D61"/>
    <w:rsid w:val="55AB064E"/>
    <w:rsid w:val="56147DB0"/>
    <w:rsid w:val="56344FBD"/>
    <w:rsid w:val="5667492F"/>
    <w:rsid w:val="56892DEA"/>
    <w:rsid w:val="56F074FE"/>
    <w:rsid w:val="57030844"/>
    <w:rsid w:val="572D5EB8"/>
    <w:rsid w:val="575171EF"/>
    <w:rsid w:val="576902C2"/>
    <w:rsid w:val="57CF75B2"/>
    <w:rsid w:val="57D2019F"/>
    <w:rsid w:val="57E2DD0F"/>
    <w:rsid w:val="583B656A"/>
    <w:rsid w:val="585F7397"/>
    <w:rsid w:val="58BF29C8"/>
    <w:rsid w:val="59A6119E"/>
    <w:rsid w:val="59D51970"/>
    <w:rsid w:val="59DD0E0D"/>
    <w:rsid w:val="59DE41AF"/>
    <w:rsid w:val="5A3448B9"/>
    <w:rsid w:val="5A4949D6"/>
    <w:rsid w:val="5A5B12BF"/>
    <w:rsid w:val="5A9F7E0E"/>
    <w:rsid w:val="5AC3569F"/>
    <w:rsid w:val="5AC42C6C"/>
    <w:rsid w:val="5AD17F66"/>
    <w:rsid w:val="5B2B0842"/>
    <w:rsid w:val="5BA77E04"/>
    <w:rsid w:val="5BD87D38"/>
    <w:rsid w:val="5BEC0E99"/>
    <w:rsid w:val="5BF73E58"/>
    <w:rsid w:val="5C5D62F1"/>
    <w:rsid w:val="5CB771A3"/>
    <w:rsid w:val="5CD26DE3"/>
    <w:rsid w:val="5CD30DCE"/>
    <w:rsid w:val="5CD9025F"/>
    <w:rsid w:val="5D482796"/>
    <w:rsid w:val="5D9233D7"/>
    <w:rsid w:val="5DFE4B25"/>
    <w:rsid w:val="5E417DDD"/>
    <w:rsid w:val="5E69201E"/>
    <w:rsid w:val="5E93211A"/>
    <w:rsid w:val="5F3612F8"/>
    <w:rsid w:val="5F3E274E"/>
    <w:rsid w:val="5F857BDE"/>
    <w:rsid w:val="5F8B0F26"/>
    <w:rsid w:val="5FC5623D"/>
    <w:rsid w:val="5FF92164"/>
    <w:rsid w:val="607312FF"/>
    <w:rsid w:val="60843AB0"/>
    <w:rsid w:val="61342A75"/>
    <w:rsid w:val="6144794C"/>
    <w:rsid w:val="6153286B"/>
    <w:rsid w:val="617B3288"/>
    <w:rsid w:val="62407B29"/>
    <w:rsid w:val="6324256E"/>
    <w:rsid w:val="632F5492"/>
    <w:rsid w:val="639A5812"/>
    <w:rsid w:val="63C604BC"/>
    <w:rsid w:val="63D6671E"/>
    <w:rsid w:val="63DB2DB7"/>
    <w:rsid w:val="641D79B2"/>
    <w:rsid w:val="6467575A"/>
    <w:rsid w:val="652439B1"/>
    <w:rsid w:val="652A40C4"/>
    <w:rsid w:val="65317553"/>
    <w:rsid w:val="655F60B6"/>
    <w:rsid w:val="65682911"/>
    <w:rsid w:val="65706D4E"/>
    <w:rsid w:val="65A53F1E"/>
    <w:rsid w:val="65C27AD5"/>
    <w:rsid w:val="662D41F4"/>
    <w:rsid w:val="667520F4"/>
    <w:rsid w:val="66855CC6"/>
    <w:rsid w:val="66873B9B"/>
    <w:rsid w:val="66C441D7"/>
    <w:rsid w:val="670A14E1"/>
    <w:rsid w:val="672D3548"/>
    <w:rsid w:val="675049D7"/>
    <w:rsid w:val="678A0849"/>
    <w:rsid w:val="68262B02"/>
    <w:rsid w:val="682C1FF0"/>
    <w:rsid w:val="682F0741"/>
    <w:rsid w:val="689312EE"/>
    <w:rsid w:val="69883781"/>
    <w:rsid w:val="69A54212"/>
    <w:rsid w:val="69C56E0A"/>
    <w:rsid w:val="6A134DD9"/>
    <w:rsid w:val="6A1637EA"/>
    <w:rsid w:val="6A173C8C"/>
    <w:rsid w:val="6A5E2F13"/>
    <w:rsid w:val="6AA94B6E"/>
    <w:rsid w:val="6AE24223"/>
    <w:rsid w:val="6AEF160F"/>
    <w:rsid w:val="6B1576D3"/>
    <w:rsid w:val="6B4A42B8"/>
    <w:rsid w:val="6B77388F"/>
    <w:rsid w:val="6C202D9E"/>
    <w:rsid w:val="6CA67609"/>
    <w:rsid w:val="6CF5775F"/>
    <w:rsid w:val="6D124A04"/>
    <w:rsid w:val="6D4611DF"/>
    <w:rsid w:val="6D8B0660"/>
    <w:rsid w:val="6D8B717B"/>
    <w:rsid w:val="6DCF1FE2"/>
    <w:rsid w:val="6E304438"/>
    <w:rsid w:val="6E3663BE"/>
    <w:rsid w:val="6E492974"/>
    <w:rsid w:val="6E8E5204"/>
    <w:rsid w:val="6EAF704E"/>
    <w:rsid w:val="6EB44E71"/>
    <w:rsid w:val="6F39338F"/>
    <w:rsid w:val="6F675CCA"/>
    <w:rsid w:val="6F936AA8"/>
    <w:rsid w:val="6FA31746"/>
    <w:rsid w:val="6FF07CFD"/>
    <w:rsid w:val="704D1037"/>
    <w:rsid w:val="706933AC"/>
    <w:rsid w:val="70A75BCE"/>
    <w:rsid w:val="70C21D30"/>
    <w:rsid w:val="71106A8D"/>
    <w:rsid w:val="7188499F"/>
    <w:rsid w:val="71BF751F"/>
    <w:rsid w:val="721D1BB2"/>
    <w:rsid w:val="72411724"/>
    <w:rsid w:val="72776907"/>
    <w:rsid w:val="72874EF1"/>
    <w:rsid w:val="7298628D"/>
    <w:rsid w:val="72D15145"/>
    <w:rsid w:val="73462A9B"/>
    <w:rsid w:val="734F4BE5"/>
    <w:rsid w:val="737F0542"/>
    <w:rsid w:val="7386647F"/>
    <w:rsid w:val="73D209DD"/>
    <w:rsid w:val="73D94B3A"/>
    <w:rsid w:val="73E732FE"/>
    <w:rsid w:val="73F6139C"/>
    <w:rsid w:val="740C1E44"/>
    <w:rsid w:val="74477E6D"/>
    <w:rsid w:val="744C70D7"/>
    <w:rsid w:val="74767A5F"/>
    <w:rsid w:val="74DB7B7B"/>
    <w:rsid w:val="751B07E0"/>
    <w:rsid w:val="7538510F"/>
    <w:rsid w:val="755D3E5A"/>
    <w:rsid w:val="759F0DE3"/>
    <w:rsid w:val="75B320AC"/>
    <w:rsid w:val="75EC0EEC"/>
    <w:rsid w:val="761B4F0B"/>
    <w:rsid w:val="7634047E"/>
    <w:rsid w:val="76340D69"/>
    <w:rsid w:val="76400E25"/>
    <w:rsid w:val="76495EE0"/>
    <w:rsid w:val="76BB7A78"/>
    <w:rsid w:val="76D4382F"/>
    <w:rsid w:val="76ED2A3E"/>
    <w:rsid w:val="77195778"/>
    <w:rsid w:val="77362F31"/>
    <w:rsid w:val="777C35C2"/>
    <w:rsid w:val="77DFEF9D"/>
    <w:rsid w:val="78C232DC"/>
    <w:rsid w:val="78D83CB4"/>
    <w:rsid w:val="791D6851"/>
    <w:rsid w:val="794C561C"/>
    <w:rsid w:val="799126A0"/>
    <w:rsid w:val="79E0038D"/>
    <w:rsid w:val="7A3A5382"/>
    <w:rsid w:val="7A416154"/>
    <w:rsid w:val="7A6D3698"/>
    <w:rsid w:val="7A8838CE"/>
    <w:rsid w:val="7B217AEA"/>
    <w:rsid w:val="7B52339C"/>
    <w:rsid w:val="7B572DF6"/>
    <w:rsid w:val="7BB84CEE"/>
    <w:rsid w:val="7BDC5CB7"/>
    <w:rsid w:val="7C6E0AEE"/>
    <w:rsid w:val="7C8C084D"/>
    <w:rsid w:val="7CB41089"/>
    <w:rsid w:val="7CB759E4"/>
    <w:rsid w:val="7CC6664B"/>
    <w:rsid w:val="7CCB6FD7"/>
    <w:rsid w:val="7CEF96B3"/>
    <w:rsid w:val="7CF94B72"/>
    <w:rsid w:val="7D13727F"/>
    <w:rsid w:val="7D6B4D92"/>
    <w:rsid w:val="7D7A4691"/>
    <w:rsid w:val="7D946EE2"/>
    <w:rsid w:val="7DD72F84"/>
    <w:rsid w:val="7DE46CFF"/>
    <w:rsid w:val="7DEF9A88"/>
    <w:rsid w:val="7DFD53BE"/>
    <w:rsid w:val="7E25607F"/>
    <w:rsid w:val="7E280528"/>
    <w:rsid w:val="7E696530"/>
    <w:rsid w:val="7F1E67E6"/>
    <w:rsid w:val="7F3B29A2"/>
    <w:rsid w:val="7F5D0237"/>
    <w:rsid w:val="7F6C676A"/>
    <w:rsid w:val="7F7BBBE9"/>
    <w:rsid w:val="7FB57C15"/>
    <w:rsid w:val="7FD52825"/>
    <w:rsid w:val="ABFB831B"/>
    <w:rsid w:val="B6BF28EA"/>
    <w:rsid w:val="BF7F9DC7"/>
    <w:rsid w:val="BF8F5736"/>
    <w:rsid w:val="D5FBCEDF"/>
    <w:rsid w:val="D7FBCFDB"/>
    <w:rsid w:val="F7DEFD9D"/>
    <w:rsid w:val="FFBFF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7">
    <w:name w:val="heading 3"/>
    <w:basedOn w:val="1"/>
    <w:next w:val="1"/>
    <w:unhideWhenUsed/>
    <w:qFormat/>
    <w:uiPriority w:val="0"/>
    <w:pPr>
      <w:keepNext/>
      <w:keepLines/>
      <w:ind w:firstLine="880"/>
      <w:outlineLvl w:val="2"/>
    </w:pPr>
    <w:rPr>
      <w:rFonts w:eastAsia="楷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uppressAutoHyphens/>
      <w:bidi w:val="0"/>
      <w:spacing w:before="0" w:after="140" w:line="276" w:lineRule="auto"/>
      <w:jc w:val="both"/>
      <w:textAlignment w:val="baseline"/>
    </w:pPr>
  </w:style>
  <w:style w:type="paragraph" w:customStyle="1" w:styleId="3">
    <w:name w:val="BodyText1I2"/>
    <w:basedOn w:val="4"/>
    <w:next w:val="1"/>
    <w:qFormat/>
    <w:uiPriority w:val="0"/>
    <w:pPr>
      <w:suppressAutoHyphens/>
      <w:bidi w:val="0"/>
      <w:spacing w:after="120"/>
      <w:ind w:left="420" w:leftChars="200" w:firstLine="420" w:firstLineChars="200"/>
      <w:jc w:val="both"/>
      <w:textAlignment w:val="baseline"/>
    </w:pPr>
  </w:style>
  <w:style w:type="paragraph" w:customStyle="1" w:styleId="4">
    <w:name w:val="BodyTextIndent"/>
    <w:basedOn w:val="1"/>
    <w:next w:val="5"/>
    <w:qFormat/>
    <w:uiPriority w:val="0"/>
    <w:pPr>
      <w:suppressAutoHyphens/>
      <w:bidi w:val="0"/>
      <w:spacing w:after="120"/>
      <w:ind w:left="420" w:leftChars="200"/>
      <w:jc w:val="both"/>
      <w:textAlignment w:val="baseline"/>
    </w:pPr>
  </w:style>
  <w:style w:type="paragraph" w:customStyle="1" w:styleId="5">
    <w:name w:val="NormalIndent"/>
    <w:basedOn w:val="1"/>
    <w:next w:val="1"/>
    <w:qFormat/>
    <w:uiPriority w:val="0"/>
    <w:pPr>
      <w:suppressAutoHyphens/>
      <w:bidi w:val="0"/>
      <w:ind w:firstLine="420" w:firstLineChars="200"/>
      <w:jc w:val="both"/>
      <w:textAlignment w:val="baseline"/>
    </w:pPr>
  </w:style>
  <w:style w:type="paragraph" w:styleId="8">
    <w:name w:val="Body Text"/>
    <w:basedOn w:val="1"/>
    <w:next w:val="9"/>
    <w:link w:val="31"/>
    <w:unhideWhenUsed/>
    <w:qFormat/>
    <w:uiPriority w:val="0"/>
    <w:pPr>
      <w:spacing w:after="120"/>
    </w:pPr>
    <w:rPr>
      <w:rFonts w:ascii="Calibri" w:hAnsi="Calibri" w:eastAsia="宋体" w:cs="Times New Roman"/>
      <w:szCs w:val="24"/>
    </w:rPr>
  </w:style>
  <w:style w:type="paragraph" w:styleId="9">
    <w:name w:val="Body Text First Indent 2"/>
    <w:basedOn w:val="10"/>
    <w:qFormat/>
    <w:uiPriority w:val="0"/>
    <w:pPr>
      <w:ind w:firstLine="420" w:firstLineChars="200"/>
    </w:pPr>
  </w:style>
  <w:style w:type="paragraph" w:styleId="10">
    <w:name w:val="Body Text Indent"/>
    <w:basedOn w:val="1"/>
    <w:qFormat/>
    <w:uiPriority w:val="0"/>
    <w:pPr>
      <w:spacing w:after="120"/>
      <w:ind w:left="420" w:leftChars="200"/>
    </w:p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27"/>
    <w:semiHidden/>
    <w:unhideWhenUsed/>
    <w:qFormat/>
    <w:uiPriority w:val="99"/>
    <w:rPr>
      <w:sz w:val="18"/>
      <w:szCs w:val="18"/>
    </w:rPr>
  </w:style>
  <w:style w:type="paragraph" w:styleId="13">
    <w:name w:val="footer"/>
    <w:basedOn w:val="1"/>
    <w:link w:val="30"/>
    <w:unhideWhenUsed/>
    <w:qFormat/>
    <w:uiPriority w:val="0"/>
    <w:pPr>
      <w:tabs>
        <w:tab w:val="center" w:pos="4153"/>
        <w:tab w:val="right" w:pos="8306"/>
      </w:tabs>
      <w:snapToGrid w:val="0"/>
      <w:jc w:val="left"/>
    </w:pPr>
    <w:rPr>
      <w:sz w:val="18"/>
      <w:szCs w:val="18"/>
    </w:rPr>
  </w:style>
  <w:style w:type="paragraph" w:styleId="14">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qFormat/>
    <w:uiPriority w:val="0"/>
    <w:rPr>
      <w:rFonts w:ascii="Verdana" w:hAnsi="Verdana"/>
      <w:kern w:val="0"/>
      <w:sz w:val="20"/>
      <w:szCs w:val="20"/>
      <w:lang w:eastAsia="en-US"/>
    </w:rPr>
  </w:style>
  <w:style w:type="character" w:styleId="21">
    <w:name w:val="Emphasis"/>
    <w:basedOn w:val="18"/>
    <w:qFormat/>
    <w:uiPriority w:val="20"/>
    <w:rPr>
      <w:i/>
      <w:iCs/>
    </w:rPr>
  </w:style>
  <w:style w:type="character" w:styleId="22">
    <w:name w:val="Hyperlink"/>
    <w:basedOn w:val="18"/>
    <w:semiHidden/>
    <w:unhideWhenUsed/>
    <w:qFormat/>
    <w:uiPriority w:val="99"/>
    <w:rPr>
      <w:color w:val="0000FF"/>
      <w:u w:val="single"/>
    </w:rPr>
  </w:style>
  <w:style w:type="character" w:customStyle="1" w:styleId="23">
    <w:name w:val="标题 1 Char"/>
    <w:basedOn w:val="18"/>
    <w:link w:val="6"/>
    <w:qFormat/>
    <w:uiPriority w:val="9"/>
    <w:rPr>
      <w:rFonts w:ascii="宋体" w:hAnsi="宋体" w:eastAsia="宋体" w:cs="宋体"/>
      <w:b/>
      <w:bCs/>
      <w:kern w:val="36"/>
      <w:sz w:val="48"/>
      <w:szCs w:val="48"/>
    </w:rPr>
  </w:style>
  <w:style w:type="paragraph" w:customStyle="1" w:styleId="24">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float--lef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source"/>
    <w:basedOn w:val="18"/>
    <w:qFormat/>
    <w:uiPriority w:val="0"/>
  </w:style>
  <w:style w:type="character" w:customStyle="1" w:styleId="27">
    <w:name w:val="批注框文本 Char"/>
    <w:basedOn w:val="18"/>
    <w:link w:val="12"/>
    <w:semiHidden/>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页眉 Char"/>
    <w:basedOn w:val="18"/>
    <w:link w:val="14"/>
    <w:semiHidden/>
    <w:qFormat/>
    <w:uiPriority w:val="99"/>
    <w:rPr>
      <w:sz w:val="18"/>
      <w:szCs w:val="18"/>
    </w:rPr>
  </w:style>
  <w:style w:type="character" w:customStyle="1" w:styleId="30">
    <w:name w:val="页脚 Char"/>
    <w:basedOn w:val="18"/>
    <w:link w:val="13"/>
    <w:qFormat/>
    <w:uiPriority w:val="0"/>
    <w:rPr>
      <w:sz w:val="18"/>
      <w:szCs w:val="18"/>
    </w:rPr>
  </w:style>
  <w:style w:type="character" w:customStyle="1" w:styleId="31">
    <w:name w:val="正文文本 Char"/>
    <w:basedOn w:val="18"/>
    <w:link w:val="8"/>
    <w:qFormat/>
    <w:uiPriority w:val="0"/>
    <w:rPr>
      <w:rFonts w:ascii="Calibri" w:hAnsi="Calibri" w:eastAsia="宋体" w:cs="Times New Roman"/>
      <w:szCs w:val="24"/>
    </w:rPr>
  </w:style>
  <w:style w:type="character" w:customStyle="1" w:styleId="32">
    <w:name w:val="日期 Char"/>
    <w:basedOn w:val="18"/>
    <w:link w:val="11"/>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143</Words>
  <Characters>152</Characters>
  <Lines>41</Lines>
  <Paragraphs>11</Paragraphs>
  <TotalTime>10</TotalTime>
  <ScaleCrop>false</ScaleCrop>
  <LinksUpToDate>false</LinksUpToDate>
  <CharactersWithSpaces>191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2019-10-10T18:49:00Z</dcterms:created>
  <dc:creator>User</dc:creator>
  <cp:lastModifiedBy>user</cp:lastModifiedBy>
  <cp:lastPrinted>2022-09-01T15:13:00Z</cp:lastPrinted>
  <dcterms:modified xsi:type="dcterms:W3CDTF">2022-09-29T18:06:46Z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7012E62F9795462B9F9CBC9E13D5C590</vt:lpwstr>
  </property>
</Properties>
</file>